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59FFC">
      <w:pPr>
        <w:spacing w:line="360" w:lineRule="auto"/>
        <w:jc w:val="center"/>
        <w:rPr>
          <w:rFonts w:hint="eastAsia" w:ascii="宋体" w:hAnsi="宋体" w:cs="宋体"/>
          <w:b/>
          <w:sz w:val="36"/>
          <w:szCs w:val="36"/>
        </w:rPr>
      </w:pPr>
    </w:p>
    <w:p w14:paraId="57B290D8">
      <w:pPr>
        <w:spacing w:line="360" w:lineRule="auto"/>
        <w:jc w:val="center"/>
        <w:rPr>
          <w:rFonts w:hint="eastAsia" w:ascii="宋体" w:hAnsi="宋体" w:cs="宋体"/>
          <w:b/>
          <w:sz w:val="36"/>
          <w:szCs w:val="36"/>
        </w:rPr>
      </w:pPr>
    </w:p>
    <w:p w14:paraId="06B37608">
      <w:pPr>
        <w:spacing w:line="360" w:lineRule="auto"/>
        <w:jc w:val="center"/>
        <w:rPr>
          <w:rFonts w:hint="eastAsia" w:ascii="宋体" w:hAnsi="宋体" w:cs="宋体"/>
          <w:b/>
          <w:sz w:val="36"/>
          <w:szCs w:val="36"/>
        </w:rPr>
      </w:pPr>
    </w:p>
    <w:p w14:paraId="6F62D9FB">
      <w:pPr>
        <w:spacing w:line="360" w:lineRule="auto"/>
        <w:jc w:val="center"/>
        <w:rPr>
          <w:rFonts w:hint="eastAsia" w:ascii="宋体" w:hAnsi="宋体" w:cs="宋体"/>
          <w:b/>
          <w:sz w:val="36"/>
          <w:szCs w:val="36"/>
        </w:rPr>
      </w:pPr>
    </w:p>
    <w:p w14:paraId="19DCDB95">
      <w:pPr>
        <w:spacing w:line="360" w:lineRule="auto"/>
        <w:jc w:val="center"/>
        <w:rPr>
          <w:rFonts w:hint="eastAsia" w:ascii="宋体" w:hAnsi="宋体" w:cs="宋体"/>
          <w:b/>
          <w:sz w:val="36"/>
          <w:szCs w:val="36"/>
        </w:rPr>
      </w:pPr>
    </w:p>
    <w:p w14:paraId="510B8F2B">
      <w:pPr>
        <w:spacing w:line="360" w:lineRule="auto"/>
        <w:jc w:val="center"/>
        <w:rPr>
          <w:rFonts w:hint="eastAsia" w:ascii="宋体" w:hAnsi="宋体" w:cs="宋体"/>
          <w:b/>
          <w:sz w:val="44"/>
          <w:szCs w:val="44"/>
        </w:rPr>
      </w:pPr>
      <w:r>
        <w:rPr>
          <w:rFonts w:hint="eastAsia" w:ascii="宋体" w:hAnsi="宋体" w:cs="宋体"/>
          <w:b/>
          <w:sz w:val="44"/>
          <w:szCs w:val="44"/>
          <w:lang w:val="en-US" w:eastAsia="zh-CN"/>
        </w:rPr>
        <w:t>惠州市省级区域职业病防治中心（市职防院、市皮肤病医院）信息化</w:t>
      </w:r>
      <w:r>
        <w:rPr>
          <w:rFonts w:hint="eastAsia" w:ascii="宋体" w:hAnsi="宋体" w:cs="宋体"/>
          <w:b/>
          <w:sz w:val="44"/>
          <w:szCs w:val="44"/>
        </w:rPr>
        <w:t>设计服务项目需求</w:t>
      </w:r>
    </w:p>
    <w:p w14:paraId="20E8EE8D">
      <w:pPr>
        <w:pStyle w:val="8"/>
        <w:rPr>
          <w:rFonts w:hint="eastAsia" w:ascii="宋体" w:hAnsi="宋体" w:cs="宋体"/>
          <w:b/>
          <w:sz w:val="44"/>
          <w:szCs w:val="44"/>
        </w:rPr>
      </w:pPr>
    </w:p>
    <w:p w14:paraId="62934287">
      <w:pPr>
        <w:rPr>
          <w:rFonts w:hint="eastAsia" w:ascii="宋体" w:hAnsi="宋体" w:cs="宋体"/>
          <w:b/>
          <w:sz w:val="44"/>
          <w:szCs w:val="44"/>
        </w:rPr>
      </w:pPr>
    </w:p>
    <w:p w14:paraId="364F09B9">
      <w:pPr>
        <w:pStyle w:val="8"/>
        <w:rPr>
          <w:sz w:val="44"/>
          <w:szCs w:val="44"/>
        </w:rPr>
      </w:pPr>
      <w:r>
        <w:rPr>
          <w:rFonts w:hint="eastAsia" w:ascii="宋体" w:hAnsi="宋体" w:cs="宋体"/>
          <w:b/>
          <w:sz w:val="44"/>
          <w:szCs w:val="44"/>
        </w:rPr>
        <w:t xml:space="preserve">         </w:t>
      </w:r>
    </w:p>
    <w:p w14:paraId="74DCB268">
      <w:pPr>
        <w:pStyle w:val="2"/>
        <w:numPr>
          <w:ilvl w:val="0"/>
          <w:numId w:val="3"/>
        </w:numPr>
        <w:rPr>
          <w:rFonts w:hint="eastAsia" w:ascii="仿宋" w:hAnsi="仿宋" w:eastAsia="仿宋" w:cs="仿宋"/>
          <w:sz w:val="28"/>
          <w:szCs w:val="28"/>
        </w:rPr>
        <w:sectPr>
          <w:footerReference r:id="rId3" w:type="default"/>
          <w:pgSz w:w="11906" w:h="16838"/>
          <w:pgMar w:top="1440" w:right="1800" w:bottom="1440" w:left="1800" w:header="851" w:footer="992" w:gutter="0"/>
          <w:cols w:space="425" w:num="1"/>
          <w:docGrid w:type="lines" w:linePitch="312" w:charSpace="0"/>
        </w:sectPr>
      </w:pPr>
    </w:p>
    <w:p w14:paraId="0F7339EB">
      <w:pPr>
        <w:pStyle w:val="2"/>
        <w:numPr>
          <w:ilvl w:val="0"/>
          <w:numId w:val="3"/>
        </w:numPr>
        <w:rPr>
          <w:rFonts w:hint="eastAsia" w:ascii="仿宋" w:hAnsi="仿宋" w:eastAsia="仿宋" w:cs="仿宋"/>
          <w:sz w:val="28"/>
          <w:szCs w:val="28"/>
        </w:rPr>
      </w:pPr>
      <w:r>
        <w:rPr>
          <w:rFonts w:hint="eastAsia" w:ascii="仿宋" w:hAnsi="仿宋" w:eastAsia="仿宋" w:cs="仿宋"/>
          <w:sz w:val="28"/>
          <w:szCs w:val="28"/>
        </w:rPr>
        <w:t>供应商资格</w:t>
      </w:r>
    </w:p>
    <w:p w14:paraId="3F4CE9E8">
      <w:pPr>
        <w:spacing w:line="360" w:lineRule="auto"/>
        <w:ind w:firstLine="480"/>
        <w:rPr>
          <w:rFonts w:hint="eastAsia" w:ascii="仿宋" w:hAnsi="仿宋" w:eastAsia="仿宋" w:cs="仿宋"/>
          <w:sz w:val="24"/>
          <w:szCs w:val="24"/>
          <w:lang w:val="zh-CN"/>
        </w:rPr>
      </w:pPr>
      <w:r>
        <w:rPr>
          <w:rFonts w:hint="eastAsia" w:ascii="仿宋" w:hAnsi="仿宋" w:eastAsia="仿宋" w:cs="仿宋"/>
          <w:sz w:val="24"/>
        </w:rPr>
        <w:t>1、</w:t>
      </w:r>
      <w:r>
        <w:rPr>
          <w:rFonts w:hint="eastAsia" w:ascii="仿宋" w:hAnsi="仿宋" w:eastAsia="仿宋" w:cs="仿宋"/>
          <w:sz w:val="24"/>
          <w:lang w:val="zh-CN"/>
        </w:rPr>
        <w:t>响应供应商必须具有国家住建部颁</w:t>
      </w:r>
      <w:r>
        <w:rPr>
          <w:rFonts w:hint="eastAsia" w:ascii="仿宋" w:hAnsi="仿宋" w:eastAsia="仿宋" w:cs="仿宋"/>
          <w:sz w:val="24"/>
          <w:szCs w:val="24"/>
          <w:lang w:val="zh-CN"/>
        </w:rPr>
        <w:t>发的《工程设计资质证书》</w:t>
      </w:r>
      <w:bookmarkStart w:id="17" w:name="_GoBack"/>
      <w:bookmarkEnd w:id="17"/>
      <w:r>
        <w:rPr>
          <w:rFonts w:hint="eastAsia" w:ascii="仿宋" w:hAnsi="仿宋" w:eastAsia="仿宋" w:cs="仿宋"/>
          <w:sz w:val="24"/>
          <w:szCs w:val="24"/>
          <w:lang w:val="en-US" w:eastAsia="zh-CN"/>
        </w:rPr>
        <w:t>综合</w:t>
      </w:r>
      <w:r>
        <w:rPr>
          <w:rFonts w:hint="eastAsia" w:ascii="仿宋" w:hAnsi="仿宋" w:eastAsia="仿宋" w:cs="仿宋"/>
          <w:sz w:val="24"/>
          <w:szCs w:val="24"/>
          <w:lang w:val="zh-CN"/>
        </w:rPr>
        <w:t>甲级资质或电子通信广电行业(电子系统工程)专业甲级资质。</w:t>
      </w:r>
    </w:p>
    <w:p w14:paraId="76EE099D">
      <w:pPr>
        <w:pStyle w:val="2"/>
        <w:numPr>
          <w:ilvl w:val="0"/>
          <w:numId w:val="3"/>
        </w:numPr>
        <w:rPr>
          <w:rFonts w:hint="eastAsia" w:ascii="仿宋" w:hAnsi="仿宋" w:eastAsia="仿宋" w:cs="仿宋"/>
          <w:sz w:val="28"/>
          <w:szCs w:val="28"/>
        </w:rPr>
      </w:pPr>
      <w:r>
        <w:rPr>
          <w:rFonts w:hint="eastAsia" w:ascii="仿宋" w:hAnsi="仿宋" w:eastAsia="仿宋" w:cs="仿宋"/>
          <w:sz w:val="28"/>
          <w:szCs w:val="28"/>
        </w:rPr>
        <w:t>设计服务项目一览表</w:t>
      </w:r>
    </w:p>
    <w:tbl>
      <w:tblPr>
        <w:tblStyle w:val="14"/>
        <w:tblW w:w="7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8"/>
        <w:gridCol w:w="1215"/>
        <w:gridCol w:w="1545"/>
      </w:tblGrid>
      <w:tr w14:paraId="3806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8" w:type="dxa"/>
            <w:vAlign w:val="center"/>
          </w:tcPr>
          <w:p w14:paraId="0E6E56A9">
            <w:pPr>
              <w:spacing w:line="560" w:lineRule="exact"/>
              <w:jc w:val="center"/>
              <w:rPr>
                <w:rFonts w:hint="eastAsia" w:ascii="仿宋" w:hAnsi="仿宋" w:eastAsia="仿宋" w:cs="仿宋"/>
                <w:b/>
                <w:bCs/>
                <w:kern w:val="0"/>
                <w:sz w:val="24"/>
              </w:rPr>
            </w:pPr>
            <w:r>
              <w:rPr>
                <w:rFonts w:hint="eastAsia" w:ascii="仿宋" w:hAnsi="仿宋" w:eastAsia="仿宋" w:cs="仿宋"/>
                <w:b/>
                <w:bCs/>
                <w:kern w:val="0"/>
                <w:sz w:val="24"/>
              </w:rPr>
              <w:t>项目名称</w:t>
            </w:r>
          </w:p>
        </w:tc>
        <w:tc>
          <w:tcPr>
            <w:tcW w:w="1215" w:type="dxa"/>
            <w:vAlign w:val="center"/>
          </w:tcPr>
          <w:p w14:paraId="0C070956">
            <w:pPr>
              <w:spacing w:line="560" w:lineRule="exact"/>
              <w:jc w:val="center"/>
              <w:rPr>
                <w:rFonts w:hint="eastAsia" w:ascii="仿宋" w:hAnsi="仿宋" w:eastAsia="仿宋" w:cs="仿宋"/>
                <w:b/>
                <w:bCs/>
                <w:kern w:val="0"/>
                <w:sz w:val="24"/>
              </w:rPr>
            </w:pPr>
            <w:r>
              <w:rPr>
                <w:rFonts w:hint="eastAsia" w:ascii="仿宋" w:hAnsi="仿宋" w:eastAsia="仿宋" w:cs="仿宋"/>
                <w:b/>
                <w:bCs/>
                <w:kern w:val="0"/>
                <w:sz w:val="24"/>
              </w:rPr>
              <w:t>单位</w:t>
            </w:r>
          </w:p>
        </w:tc>
        <w:tc>
          <w:tcPr>
            <w:tcW w:w="1545" w:type="dxa"/>
            <w:vAlign w:val="center"/>
          </w:tcPr>
          <w:p w14:paraId="4DE55702">
            <w:pPr>
              <w:spacing w:line="560" w:lineRule="exact"/>
              <w:jc w:val="center"/>
              <w:rPr>
                <w:rFonts w:hint="eastAsia" w:ascii="仿宋" w:hAnsi="仿宋" w:eastAsia="仿宋" w:cs="仿宋"/>
                <w:b/>
                <w:bCs/>
                <w:kern w:val="0"/>
                <w:sz w:val="24"/>
              </w:rPr>
            </w:pPr>
            <w:r>
              <w:rPr>
                <w:rFonts w:hint="eastAsia" w:ascii="仿宋" w:hAnsi="仿宋" w:eastAsia="仿宋" w:cs="仿宋"/>
                <w:b/>
                <w:bCs/>
                <w:kern w:val="0"/>
                <w:sz w:val="24"/>
              </w:rPr>
              <w:t>数量</w:t>
            </w:r>
          </w:p>
        </w:tc>
      </w:tr>
      <w:tr w14:paraId="0B18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8" w:type="dxa"/>
            <w:vAlign w:val="center"/>
          </w:tcPr>
          <w:p w14:paraId="3D6213C6">
            <w:pPr>
              <w:spacing w:line="560" w:lineRule="exact"/>
              <w:jc w:val="center"/>
              <w:rPr>
                <w:rFonts w:hint="eastAsia" w:ascii="仿宋" w:hAnsi="仿宋" w:eastAsia="仿宋" w:cs="仿宋"/>
                <w:kern w:val="0"/>
                <w:sz w:val="24"/>
              </w:rPr>
            </w:pPr>
            <w:r>
              <w:rPr>
                <w:rFonts w:hint="eastAsia" w:ascii="仿宋" w:hAnsi="仿宋" w:eastAsia="仿宋" w:cs="仿宋"/>
                <w:kern w:val="0"/>
                <w:sz w:val="24"/>
              </w:rPr>
              <w:t>惠州市省级区域职业病防治中心（市职防院、市皮肤病医院）</w:t>
            </w:r>
            <w:r>
              <w:rPr>
                <w:rFonts w:hint="eastAsia" w:ascii="仿宋" w:hAnsi="仿宋" w:eastAsia="仿宋" w:cs="仿宋"/>
                <w:kern w:val="0"/>
                <w:sz w:val="24"/>
                <w:lang w:val="en-US" w:eastAsia="zh-CN"/>
              </w:rPr>
              <w:t>信息化</w:t>
            </w:r>
            <w:r>
              <w:rPr>
                <w:rFonts w:hint="eastAsia" w:ascii="仿宋" w:hAnsi="仿宋" w:eastAsia="仿宋" w:cs="仿宋"/>
                <w:kern w:val="0"/>
                <w:sz w:val="24"/>
              </w:rPr>
              <w:t>设计服务项目</w:t>
            </w:r>
          </w:p>
        </w:tc>
        <w:tc>
          <w:tcPr>
            <w:tcW w:w="1215" w:type="dxa"/>
            <w:vAlign w:val="center"/>
          </w:tcPr>
          <w:p w14:paraId="0C27D3BD">
            <w:pPr>
              <w:spacing w:line="560" w:lineRule="exact"/>
              <w:jc w:val="center"/>
              <w:rPr>
                <w:rFonts w:hint="eastAsia" w:ascii="仿宋" w:hAnsi="仿宋" w:eastAsia="仿宋" w:cs="仿宋"/>
                <w:kern w:val="0"/>
                <w:sz w:val="24"/>
              </w:rPr>
            </w:pPr>
            <w:r>
              <w:rPr>
                <w:rFonts w:hint="eastAsia" w:ascii="仿宋" w:hAnsi="仿宋" w:eastAsia="仿宋" w:cs="仿宋"/>
                <w:kern w:val="0"/>
                <w:sz w:val="24"/>
              </w:rPr>
              <w:t>项</w:t>
            </w:r>
          </w:p>
        </w:tc>
        <w:tc>
          <w:tcPr>
            <w:tcW w:w="1545" w:type="dxa"/>
            <w:vAlign w:val="center"/>
          </w:tcPr>
          <w:p w14:paraId="548B1A82">
            <w:pPr>
              <w:spacing w:line="560" w:lineRule="exact"/>
              <w:jc w:val="center"/>
              <w:rPr>
                <w:rFonts w:hint="eastAsia" w:ascii="仿宋" w:hAnsi="仿宋" w:eastAsia="仿宋" w:cs="仿宋"/>
                <w:kern w:val="0"/>
                <w:sz w:val="24"/>
              </w:rPr>
            </w:pPr>
            <w:r>
              <w:rPr>
                <w:rFonts w:hint="eastAsia" w:ascii="仿宋" w:hAnsi="仿宋" w:eastAsia="仿宋" w:cs="仿宋"/>
                <w:kern w:val="0"/>
                <w:sz w:val="24"/>
              </w:rPr>
              <w:t>1</w:t>
            </w:r>
          </w:p>
        </w:tc>
      </w:tr>
    </w:tbl>
    <w:p w14:paraId="0F93DA7C"/>
    <w:p w14:paraId="08203ADC">
      <w:pPr>
        <w:pStyle w:val="2"/>
        <w:numPr>
          <w:ilvl w:val="0"/>
          <w:numId w:val="3"/>
        </w:numPr>
        <w:rPr>
          <w:rFonts w:hint="eastAsia" w:ascii="仿宋" w:hAnsi="仿宋" w:eastAsia="仿宋" w:cs="仿宋"/>
          <w:sz w:val="28"/>
          <w:szCs w:val="28"/>
        </w:rPr>
      </w:pPr>
      <w:r>
        <w:rPr>
          <w:rFonts w:hint="eastAsia" w:ascii="仿宋" w:hAnsi="仿宋" w:eastAsia="仿宋" w:cs="仿宋"/>
          <w:sz w:val="28"/>
          <w:szCs w:val="28"/>
        </w:rPr>
        <w:t>项目建设背景</w:t>
      </w:r>
    </w:p>
    <w:p w14:paraId="3BC8B911">
      <w:pPr>
        <w:widowControl/>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1.惠州市职业病防治院</w:t>
      </w:r>
    </w:p>
    <w:p w14:paraId="5914AF63">
      <w:pPr>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随着我国职业病防治工作的不断推进，《职业病防治法》的深入实施，职业健康服务体系建设进入高质量发展阶段，省级区域职业病防治中心作为职业健康服务的核心枢纽，承担着职业病诊断、治疗、康复、预防及科研的全链条职能，其信息化建设水平直接关系到职业病防治工作的效率、质量与规范化程度。当前，职业健康领域对精准化、智能化、一体化服务的需求日益迫切，传统信息化模式已难以适配新时代职业病防治工作的发展要求。</w:t>
      </w:r>
    </w:p>
    <w:p w14:paraId="35773165">
      <w:pPr>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惠州市省级区域职业病防治中心作为区域内职业健康服务的龙头机构，肩负着为劳动者提供专业职业病诊疗、职业健康体检、职业卫生检测与培训，以及为用人单位提供职业健康管理指导、为卫生健康监管部门提供数据支撑的重要使命。近年来，随着辖区内企业数量增多、行业类型多元化，职业病危害因素呈现复杂化、多样化趋势，尘肺、职业中毒等常见职业病的防控压力持续加大，同时劳动者对职业健康服务的便捷性、专业性要求不断提升，卫生健康监管部门对职业健康数据的实时性、准确性、可追溯性要求也进一步提高。</w:t>
      </w:r>
    </w:p>
    <w:p w14:paraId="6989DB73">
      <w:pPr>
        <w:widowControl/>
        <w:spacing w:line="360" w:lineRule="auto"/>
        <w:ind w:firstLine="480" w:firstLineChars="200"/>
      </w:pPr>
      <w:r>
        <w:rPr>
          <w:rFonts w:hint="eastAsia" w:ascii="仿宋" w:hAnsi="仿宋" w:eastAsia="仿宋" w:cs="仿宋"/>
          <w:sz w:val="24"/>
        </w:rPr>
        <w:t>当前，国内多地已率先推进职业健康信息化建设，构建省级职业健康信息综合管理平台，实现职业健康信息的上下联动、横向联通和动态管理，大幅提升了职业健康服务效率与管理水平。在此背景下，为落实国家、省、市关于职业健康信息化建设的相关部署，破解中心现有信息化体系存在的短板，整合诊疗、检测、培训、管理等各类资源，打通数据壁垒，实现职业健康服务全流程智能化、管理精细化、数据标准化，切实保障劳动者职业健康权益，提升区域职业病防治综合能力，特启动本次信息化建设项目。</w:t>
      </w:r>
    </w:p>
    <w:p w14:paraId="598287EA">
      <w:pPr>
        <w:numPr>
          <w:ilvl w:val="0"/>
          <w:numId w:val="0"/>
        </w:numPr>
        <w:tabs>
          <w:tab w:val="left" w:pos="1410"/>
        </w:tabs>
        <w:autoSpaceDE w:val="0"/>
        <w:autoSpaceDN w:val="0"/>
        <w:adjustRightIn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2.惠州市皮肤病防治研究所</w:t>
      </w:r>
    </w:p>
    <w:p w14:paraId="56A9EE18">
      <w:pPr>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皮肤是人体最大的器官，也是一个人健康与否最直观外在的表现。WHO曾宣布，皮肤病将是21世纪人类历史上发病率最高、致残率最高、传染性最强的一种疾病。据统计，中国人皮肤疾病患病率高达40%～70%，所致健康寿命损失在所有疾病中位列第四，皮肤病防治是健康中国建设不可或缺的重要一环</w:t>
      </w:r>
      <w:r>
        <w:rPr>
          <w:rFonts w:hint="eastAsia" w:ascii="仿宋" w:hAnsi="仿宋" w:eastAsia="仿宋" w:cs="仿宋"/>
          <w:sz w:val="24"/>
          <w:lang w:eastAsia="zh-CN"/>
        </w:rPr>
        <w:t>。截止202</w:t>
      </w:r>
      <w:r>
        <w:rPr>
          <w:rFonts w:hint="eastAsia" w:ascii="仿宋" w:hAnsi="仿宋" w:eastAsia="仿宋" w:cs="仿宋"/>
          <w:sz w:val="24"/>
          <w:lang w:val="en-US" w:eastAsia="zh-CN"/>
        </w:rPr>
        <w:t>4</w:t>
      </w:r>
      <w:r>
        <w:rPr>
          <w:rFonts w:hint="eastAsia" w:ascii="仿宋" w:hAnsi="仿宋" w:eastAsia="仿宋" w:cs="仿宋"/>
          <w:sz w:val="24"/>
          <w:lang w:eastAsia="zh-CN"/>
        </w:rPr>
        <w:t>年，惠州市常住人口611.68万人，按照患病率估算，全市有24</w:t>
      </w:r>
      <w:r>
        <w:rPr>
          <w:rFonts w:hint="eastAsia" w:ascii="仿宋" w:hAnsi="仿宋" w:eastAsia="仿宋" w:cs="仿宋"/>
          <w:sz w:val="24"/>
          <w:lang w:val="en-US" w:eastAsia="zh-CN"/>
        </w:rPr>
        <w:t>4</w:t>
      </w:r>
      <w:r>
        <w:rPr>
          <w:rFonts w:hint="eastAsia" w:ascii="仿宋" w:hAnsi="仿宋" w:eastAsia="仿宋" w:cs="仿宋"/>
          <w:sz w:val="24"/>
          <w:lang w:eastAsia="zh-CN"/>
        </w:rPr>
        <w:t>.</w:t>
      </w:r>
      <w:r>
        <w:rPr>
          <w:rFonts w:hint="eastAsia" w:ascii="仿宋" w:hAnsi="仿宋" w:eastAsia="仿宋" w:cs="仿宋"/>
          <w:sz w:val="24"/>
          <w:lang w:val="en-US" w:eastAsia="zh-CN"/>
        </w:rPr>
        <w:t>67</w:t>
      </w:r>
      <w:r>
        <w:rPr>
          <w:rFonts w:hint="eastAsia" w:ascii="仿宋" w:hAnsi="仿宋" w:eastAsia="仿宋" w:cs="仿宋"/>
          <w:sz w:val="24"/>
          <w:lang w:eastAsia="zh-CN"/>
        </w:rPr>
        <w:t>万～42</w:t>
      </w:r>
      <w:r>
        <w:rPr>
          <w:rFonts w:hint="eastAsia" w:ascii="仿宋" w:hAnsi="仿宋" w:eastAsia="仿宋" w:cs="仿宋"/>
          <w:sz w:val="24"/>
          <w:lang w:val="en-US" w:eastAsia="zh-CN"/>
        </w:rPr>
        <w:t>8</w:t>
      </w:r>
      <w:r>
        <w:rPr>
          <w:rFonts w:hint="eastAsia" w:ascii="仿宋" w:hAnsi="仿宋" w:eastAsia="仿宋" w:cs="仿宋"/>
          <w:sz w:val="24"/>
          <w:lang w:eastAsia="zh-CN"/>
        </w:rPr>
        <w:t>.1</w:t>
      </w:r>
      <w:r>
        <w:rPr>
          <w:rFonts w:hint="eastAsia" w:ascii="仿宋" w:hAnsi="仿宋" w:eastAsia="仿宋" w:cs="仿宋"/>
          <w:sz w:val="24"/>
          <w:lang w:val="en-US" w:eastAsia="zh-CN"/>
        </w:rPr>
        <w:t>7</w:t>
      </w:r>
      <w:r>
        <w:rPr>
          <w:rFonts w:hint="eastAsia" w:ascii="仿宋" w:hAnsi="仿宋" w:eastAsia="仿宋" w:cs="仿宋"/>
          <w:sz w:val="24"/>
          <w:lang w:eastAsia="zh-CN"/>
        </w:rPr>
        <w:t>万人受皮肤疾病困扰，人民群众对高质量的皮肤诊疗服务有着迫切的需求。</w:t>
      </w:r>
      <w:r>
        <w:rPr>
          <w:rFonts w:hint="eastAsia" w:ascii="仿宋" w:hAnsi="仿宋" w:eastAsia="仿宋" w:cs="仿宋"/>
          <w:sz w:val="24"/>
          <w:lang w:val="en-US" w:eastAsia="zh-CN"/>
        </w:rPr>
        <w:t>目前，惠州市皮肤病医院和市职业病防治院分别位于惠城区鹅岭北路横街7号和鹅岭北路横街2号，现址与西湖风景区保护规划存在较大冲突，根据《惠州市西湖风景名胜区总体规划（2012-2025年）》、《惠州西湖风景名胜区详细规划》（2020-2025）及相关保护规定，两家医院均位于核心景区内，核心景区内需严格限制建设，现有与资源保护无关的住户和单位需限时搬迁。《惠州西湖及周边区域优化工程实施性城市设计》（初步方案稿）等相关规划部署建议将两院搬迁，保留大部分建筑并进行功能置换，改造成公共开放的文化创意园。其次市皮肤病医院和市职业病防治院</w:t>
      </w:r>
      <w:r>
        <w:rPr>
          <w:rFonts w:hint="eastAsia" w:ascii="仿宋" w:hAnsi="仿宋" w:eastAsia="仿宋" w:cs="仿宋"/>
          <w:sz w:val="24"/>
        </w:rPr>
        <w:t>建设滞后于惠州市社会经济发展水平，突出的表现在业务用房严重不足、设备及装备水平不高、科研力量薄弱、功能布局不够合理、整体不满足国家建设标准要求等，严重影响了惠州市</w:t>
      </w:r>
      <w:r>
        <w:rPr>
          <w:rFonts w:hint="eastAsia" w:ascii="仿宋" w:hAnsi="仿宋" w:eastAsia="仿宋" w:cs="仿宋"/>
          <w:sz w:val="24"/>
          <w:lang w:eastAsia="zh-CN"/>
        </w:rPr>
        <w:t>皮肤病</w:t>
      </w:r>
      <w:r>
        <w:rPr>
          <w:rFonts w:hint="eastAsia" w:ascii="仿宋" w:hAnsi="仿宋" w:eastAsia="仿宋" w:cs="仿宋"/>
          <w:sz w:val="24"/>
        </w:rPr>
        <w:t>防治工作和服务水平的提高。</w:t>
      </w:r>
    </w:p>
    <w:p w14:paraId="2314907F">
      <w:pPr>
        <w:tabs>
          <w:tab w:val="left" w:pos="1410"/>
        </w:tabs>
        <w:autoSpaceDE w:val="0"/>
        <w:autoSpaceDN w:val="0"/>
        <w:adjustRightInd w:val="0"/>
        <w:spacing w:line="360" w:lineRule="auto"/>
        <w:ind w:firstLine="480" w:firstLineChars="200"/>
        <w:rPr>
          <w:rFonts w:hint="eastAsia" w:ascii="仿宋" w:hAnsi="仿宋" w:eastAsia="仿宋" w:cs="仿宋"/>
          <w:sz w:val="24"/>
        </w:rPr>
      </w:pPr>
    </w:p>
    <w:p w14:paraId="6DBA09E7">
      <w:pPr>
        <w:pStyle w:val="2"/>
        <w:numPr>
          <w:ilvl w:val="0"/>
          <w:numId w:val="3"/>
        </w:numPr>
        <w:rPr>
          <w:rFonts w:hint="eastAsia" w:ascii="仿宋" w:hAnsi="仿宋" w:eastAsia="仿宋" w:cs="仿宋"/>
          <w:sz w:val="28"/>
          <w:szCs w:val="28"/>
        </w:rPr>
      </w:pPr>
      <w:r>
        <w:rPr>
          <w:rFonts w:hint="eastAsia" w:ascii="仿宋" w:hAnsi="仿宋" w:eastAsia="仿宋" w:cs="仿宋"/>
          <w:sz w:val="28"/>
          <w:szCs w:val="28"/>
        </w:rPr>
        <w:t>项目概况</w:t>
      </w:r>
    </w:p>
    <w:p w14:paraId="6CD69176">
      <w:pPr>
        <w:pStyle w:val="3"/>
        <w:numPr>
          <w:ilvl w:val="0"/>
          <w:numId w:val="4"/>
        </w:numPr>
        <w:tabs>
          <w:tab w:val="left" w:pos="709"/>
        </w:tabs>
        <w:rPr>
          <w:rFonts w:hint="eastAsia" w:ascii="仿宋" w:hAnsi="仿宋" w:eastAsia="仿宋" w:cs="仿宋"/>
          <w:sz w:val="24"/>
          <w:szCs w:val="24"/>
        </w:rPr>
      </w:pPr>
      <w:r>
        <w:rPr>
          <w:rFonts w:hint="eastAsia" w:ascii="仿宋" w:hAnsi="仿宋" w:eastAsia="仿宋" w:cs="仿宋"/>
          <w:sz w:val="24"/>
          <w:szCs w:val="24"/>
        </w:rPr>
        <w:t>建设目标</w:t>
      </w:r>
    </w:p>
    <w:p w14:paraId="0EDDFEF3">
      <w:pPr>
        <w:widowControl/>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1.惠州市职业病防治院</w:t>
      </w:r>
    </w:p>
    <w:p w14:paraId="15ED539E">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次项目以“利旧新建协同、安全合规优先、资源弹性扩展、服务精准高效”为核心原则，围绕惠州市省级区域职业病防治中心核心职能，构建“一个核心、多个支撑、全域覆盖”的信息化体系，全面提升中心职业病防治、诊疗服务、管理运营、公众服务的智能化水平，具体目标如下：</w:t>
      </w:r>
    </w:p>
    <w:p w14:paraId="34A440EB">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构建标准化、一体化的HIS系统，达到电子病历系统三级标准，实现门诊、住院、药库药房、收费等核心诊疗流程的无缝衔接，优化就医体验，提升诊疗效率与规范化水平，确保临床数据的结构化处理与安全流转。</w:t>
      </w:r>
    </w:p>
    <w:p w14:paraId="424798B4">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完成数智化职业健康管理系统二期升级，完善职业卫生检测、职业卫生培训两大核心模块，实现检测全流程可视化管理、培训精准化推送，提升职业卫生服务的专业性与便捷性，满足企业与劳动者的职业健康管理需求。</w:t>
      </w:r>
    </w:p>
    <w:p w14:paraId="04444866">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优化单位官网功能，完善信息发布、业务指引、科普宣传等板块，构建规范的信息发布审核流程，为公众、用人单位提供全面、便捷的信息服务，提升中心公共服务能力与社会影响力。</w:t>
      </w:r>
    </w:p>
    <w:p w14:paraId="593BD7E9">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搭建一体化财务和运营系统，实现预算管理、成本核算、收入管理、资产管理等财务工作精细化，以及职业卫生业务、资源调度、质量管理等运营工作智能化，推动业财一体化，提升管理效率与决策科学性。</w:t>
      </w:r>
    </w:p>
    <w:p w14:paraId="2E9C9267">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建设标准化医学影像系统（PACS），实现影像采集、存储、管理、分析与共享的全流程优化，引入AI辅助诊断技术，提升影像诊断的精准度与效率，支撑远程会诊、双向转诊等业务开展。</w:t>
      </w:r>
    </w:p>
    <w:p w14:paraId="7394D579">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构建高效可靠的计算资源与网络基础设施体系，整合现有设备与新购资源，实现资源动态分配与分级存储，搭建完善的灾备架构，保障核心业务系统连续运行，满足信创要求与等保合规标准。</w:t>
      </w:r>
    </w:p>
    <w:p w14:paraId="2450498A">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打通各系统数据壁垒，实现诊疗数据、职业健康数据、财务数据、运营数据、影像数据的互联互通，构建统一的数据资源池，为职业病防治科研、监管决策提供数据支撑，推动区域职业健康服务高质量发展。</w:t>
      </w:r>
    </w:p>
    <w:p w14:paraId="4E4A1CBA">
      <w:pPr>
        <w:numPr>
          <w:ilvl w:val="0"/>
          <w:numId w:val="0"/>
        </w:numPr>
        <w:tabs>
          <w:tab w:val="left" w:pos="1410"/>
        </w:tabs>
        <w:autoSpaceDE w:val="0"/>
        <w:autoSpaceDN w:val="0"/>
        <w:adjustRightInd w:val="0"/>
        <w:spacing w:line="360" w:lineRule="auto"/>
        <w:rPr>
          <w:rFonts w:hint="eastAsia" w:ascii="仿宋" w:hAnsi="仿宋" w:eastAsia="仿宋" w:cs="仿宋"/>
          <w:sz w:val="24"/>
          <w:lang w:val="en-US" w:eastAsia="zh-CN"/>
        </w:rPr>
      </w:pPr>
    </w:p>
    <w:p w14:paraId="2A871E62">
      <w:pPr>
        <w:numPr>
          <w:ilvl w:val="0"/>
          <w:numId w:val="0"/>
        </w:numPr>
        <w:tabs>
          <w:tab w:val="left" w:pos="1410"/>
        </w:tabs>
        <w:autoSpaceDE w:val="0"/>
        <w:autoSpaceDN w:val="0"/>
        <w:adjustRightIn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2.惠州市皮肤病防治研究所</w:t>
      </w:r>
    </w:p>
    <w:p w14:paraId="1C63B10A">
      <w:pPr>
        <w:tabs>
          <w:tab w:val="left" w:pos="1410"/>
        </w:tabs>
        <w:autoSpaceDE w:val="0"/>
        <w:autoSpaceDN w:val="0"/>
        <w:adjustRightInd w:val="0"/>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本次项目以“利旧新建协同、安全合规优先、资源弹性扩展、服务精准高效”为核心原则，围绕惠州市</w:t>
      </w:r>
      <w:r>
        <w:rPr>
          <w:rFonts w:hint="eastAsia" w:ascii="仿宋" w:hAnsi="仿宋" w:eastAsia="仿宋" w:cs="仿宋"/>
          <w:sz w:val="24"/>
          <w:lang w:val="en-US" w:eastAsia="zh-CN"/>
        </w:rPr>
        <w:t>皮肤病</w:t>
      </w:r>
      <w:r>
        <w:rPr>
          <w:rFonts w:hint="eastAsia" w:ascii="仿宋" w:hAnsi="仿宋" w:eastAsia="仿宋" w:cs="仿宋"/>
          <w:sz w:val="24"/>
        </w:rPr>
        <w:t>防治中心职能，构建“一个核心、多个支撑、全域覆盖”的信息化体系，构建高效可靠的计算资源与网络基础设施体系，整合现有设备与新购资源，实现资源动态分配与分级存储，搭建完善的灾备架构，保障核心业务系统连续运行，满足信创要求与等保合规标准。</w:t>
      </w:r>
      <w:r>
        <w:rPr>
          <w:rFonts w:hint="eastAsia" w:ascii="仿宋" w:hAnsi="仿宋" w:eastAsia="仿宋" w:cs="仿宋"/>
          <w:sz w:val="24"/>
          <w:lang w:val="en-US" w:eastAsia="zh-CN"/>
        </w:rPr>
        <w:t>建设标准化的信息中心机房。</w:t>
      </w:r>
    </w:p>
    <w:p w14:paraId="64593844">
      <w:pPr>
        <w:pStyle w:val="3"/>
        <w:numPr>
          <w:ilvl w:val="0"/>
          <w:numId w:val="4"/>
        </w:numPr>
        <w:tabs>
          <w:tab w:val="left" w:pos="709"/>
        </w:tabs>
        <w:rPr>
          <w:rFonts w:hint="eastAsia" w:ascii="仿宋" w:hAnsi="仿宋" w:eastAsia="仿宋" w:cs="仿宋"/>
          <w:sz w:val="24"/>
          <w:szCs w:val="24"/>
        </w:rPr>
      </w:pPr>
      <w:r>
        <w:rPr>
          <w:rFonts w:hint="eastAsia" w:ascii="仿宋" w:hAnsi="仿宋" w:eastAsia="仿宋" w:cs="仿宋"/>
          <w:sz w:val="24"/>
          <w:szCs w:val="24"/>
        </w:rPr>
        <w:t>现状分析</w:t>
      </w:r>
    </w:p>
    <w:p w14:paraId="61421B27">
      <w:pPr>
        <w:tabs>
          <w:tab w:val="left" w:pos="1410"/>
        </w:tabs>
        <w:autoSpaceDE w:val="0"/>
        <w:autoSpaceDN w:val="0"/>
        <w:adjustRightInd w:val="0"/>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1.惠州市职业病防治院</w:t>
      </w:r>
    </w:p>
    <w:p w14:paraId="405A6624">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当前，惠州市省级区域职业病防治中心已初步具备一定的信息化基础，开展了部分核心业务的信息化应用，但结合新时代职业病防治工作需求与行业发展水平，仍存在诸多短板与不足，具体现状如下：</w:t>
      </w:r>
    </w:p>
    <w:p w14:paraId="16B28F83">
      <w:pPr>
        <w:tabs>
          <w:tab w:val="left" w:pos="1410"/>
        </w:tabs>
        <w:autoSpaceDE w:val="0"/>
        <w:autoSpaceDN w:val="0"/>
        <w:adjustRightInd w:val="0"/>
        <w:spacing w:line="360" w:lineRule="auto"/>
        <w:ind w:firstLine="480" w:firstLineChars="200"/>
        <w:rPr>
          <w:rFonts w:hint="eastAsia" w:ascii="仿宋" w:hAnsi="仿宋" w:eastAsia="仿宋" w:cs="仿宋"/>
          <w:sz w:val="24"/>
        </w:rPr>
      </w:pPr>
      <w:bookmarkStart w:id="0" w:name="heading_4"/>
      <w:r>
        <w:rPr>
          <w:rFonts w:hint="eastAsia" w:ascii="仿宋" w:hAnsi="仿宋" w:eastAsia="仿宋" w:cs="仿宋"/>
          <w:sz w:val="24"/>
          <w:lang w:val="en-US" w:eastAsia="zh-CN"/>
        </w:rPr>
        <w:t>①</w:t>
      </w:r>
      <w:r>
        <w:rPr>
          <w:rFonts w:hint="eastAsia" w:ascii="仿宋" w:hAnsi="仿宋" w:eastAsia="仿宋" w:cs="仿宋"/>
          <w:sz w:val="24"/>
        </w:rPr>
        <w:t>现有信息化系统碎片化，数据壁垒突出</w:t>
      </w:r>
      <w:bookmarkEnd w:id="0"/>
    </w:p>
    <w:p w14:paraId="18FE5888">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中心现有各类信息化系统相互独立，HIS系统、体检系统、职业卫生检测系统、财务系统等之间缺乏有效对接，数据无法实现互联互通，存在“信息孤岛”现象。例如，诊疗数据与职业健康档案数据无法实时共享，职业卫生检测数据与用人单位信息无法有效联动，导致医护人员、管理人员需重复录入数据，工作效率低下，同时无法形成完整的职业健康全周期数据链条，难以支撑精准诊疗与科学决策。</w:t>
      </w:r>
    </w:p>
    <w:p w14:paraId="35FBD158">
      <w:pPr>
        <w:tabs>
          <w:tab w:val="left" w:pos="1410"/>
        </w:tabs>
        <w:autoSpaceDE w:val="0"/>
        <w:autoSpaceDN w:val="0"/>
        <w:adjustRightInd w:val="0"/>
        <w:spacing w:line="360" w:lineRule="auto"/>
        <w:ind w:firstLine="480" w:firstLineChars="200"/>
        <w:rPr>
          <w:rFonts w:hint="eastAsia" w:ascii="仿宋" w:hAnsi="仿宋" w:eastAsia="仿宋" w:cs="仿宋"/>
          <w:sz w:val="24"/>
        </w:rPr>
      </w:pPr>
      <w:bookmarkStart w:id="1" w:name="heading_5"/>
      <w:r>
        <w:rPr>
          <w:rFonts w:hint="eastAsia" w:ascii="仿宋" w:hAnsi="仿宋" w:eastAsia="仿宋" w:cs="仿宋"/>
          <w:sz w:val="24"/>
          <w:lang w:val="en-US" w:eastAsia="zh-CN"/>
        </w:rPr>
        <w:t>②</w:t>
      </w:r>
      <w:r>
        <w:rPr>
          <w:rFonts w:hint="eastAsia" w:ascii="仿宋" w:hAnsi="仿宋" w:eastAsia="仿宋" w:cs="仿宋"/>
          <w:sz w:val="24"/>
        </w:rPr>
        <w:t>核心业务系统功能不完善，适配性不足</w:t>
      </w:r>
      <w:bookmarkEnd w:id="1"/>
    </w:p>
    <w:p w14:paraId="5453F7BD">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现有HIS系统未完全达到电子病历三级标准，门诊、住院诊疗流程的一体化集成程度不高，职业健康档案管理、职业病诊断支持等特色功能不完善，难以满足职业病诊疗的专业化需求；职业卫生检测与培训系统功能较为基础，缺乏检测全流程可视化管理、培训内容精准推送等智能化功能，无法适配企业多样化的职业卫生服务需求；PACS系统尚未实现与HIS系统的深度集成，影像分析、共享能力不足，缺乏AI辅助诊断支撑，影像诊断效率与精准度有待提升。</w:t>
      </w:r>
    </w:p>
    <w:p w14:paraId="46867F8B">
      <w:pPr>
        <w:tabs>
          <w:tab w:val="left" w:pos="1410"/>
        </w:tabs>
        <w:autoSpaceDE w:val="0"/>
        <w:autoSpaceDN w:val="0"/>
        <w:adjustRightInd w:val="0"/>
        <w:spacing w:line="360" w:lineRule="auto"/>
        <w:ind w:firstLine="480" w:firstLineChars="200"/>
        <w:rPr>
          <w:rFonts w:hint="eastAsia" w:ascii="仿宋" w:hAnsi="仿宋" w:eastAsia="仿宋" w:cs="仿宋"/>
          <w:sz w:val="24"/>
        </w:rPr>
      </w:pPr>
      <w:bookmarkStart w:id="2" w:name="heading_6"/>
      <w:r>
        <w:rPr>
          <w:rFonts w:hint="eastAsia" w:ascii="仿宋" w:hAnsi="仿宋" w:eastAsia="仿宋" w:cs="仿宋"/>
          <w:sz w:val="24"/>
          <w:lang w:val="en-US" w:eastAsia="zh-CN"/>
        </w:rPr>
        <w:t>③</w:t>
      </w:r>
      <w:r>
        <w:rPr>
          <w:rFonts w:hint="eastAsia" w:ascii="仿宋" w:hAnsi="仿宋" w:eastAsia="仿宋" w:cs="仿宋"/>
          <w:sz w:val="24"/>
        </w:rPr>
        <w:t>计算资源与网络基础设施有待优化</w:t>
      </w:r>
      <w:bookmarkEnd w:id="2"/>
    </w:p>
    <w:p w14:paraId="149072BC">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现有计算资源未进行有效整合，核心业务与非核心业务共用资源，导致算力分配不合理，部分算力密集型任务（如职业病大数据分析、AI辅助诊断）运行效率低下；存储资源缺乏分级管理，高频访问数据与历史归档数据未进行差异化存储，存储成本较高且访问效率不足。网络基础设施方面，旧院区、新院区与大亚湾分院的网络未形成高效联动，灾备架构不完善，部分网络设备老化，难以保障核心业务系统的连续运行，同时存在等保合规方面的薄弱环节。</w:t>
      </w:r>
    </w:p>
    <w:p w14:paraId="17AAEABF">
      <w:pPr>
        <w:tabs>
          <w:tab w:val="left" w:pos="1410"/>
        </w:tabs>
        <w:autoSpaceDE w:val="0"/>
        <w:autoSpaceDN w:val="0"/>
        <w:adjustRightInd w:val="0"/>
        <w:spacing w:line="360" w:lineRule="auto"/>
        <w:ind w:firstLine="480" w:firstLineChars="200"/>
        <w:rPr>
          <w:rFonts w:hint="eastAsia" w:ascii="仿宋" w:hAnsi="仿宋" w:eastAsia="仿宋" w:cs="仿宋"/>
          <w:sz w:val="24"/>
        </w:rPr>
      </w:pPr>
      <w:bookmarkStart w:id="3" w:name="heading_7"/>
      <w:r>
        <w:rPr>
          <w:rFonts w:hint="eastAsia" w:ascii="仿宋" w:hAnsi="仿宋" w:eastAsia="仿宋" w:cs="仿宋"/>
          <w:sz w:val="24"/>
          <w:lang w:val="en-US" w:eastAsia="zh-CN"/>
        </w:rPr>
        <w:t>④</w:t>
      </w:r>
      <w:r>
        <w:rPr>
          <w:rFonts w:hint="eastAsia" w:ascii="仿宋" w:hAnsi="仿宋" w:eastAsia="仿宋" w:cs="仿宋"/>
          <w:sz w:val="24"/>
        </w:rPr>
        <w:t>管理与服务智能化水平偏低</w:t>
      </w:r>
      <w:bookmarkEnd w:id="3"/>
    </w:p>
    <w:p w14:paraId="3413C932">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财务与运营管理仍存在手工操作较多的情况，预算管理、成本核算、对账管理等工作的自动化程度不高，业财融合不够深入，难以实现精细化管理与科学决策；公众服务方面，官网信息发布的及时性、便捷性有待提升，业务指引、科普宣传等内容的针对性不足，无法充分满足公众与用人单位的信息获取需求；职业健康培训、检测报告查询等服务的便捷性不足，劳动者与企业的体验感有待改善。</w:t>
      </w:r>
    </w:p>
    <w:p w14:paraId="0F849352">
      <w:pPr>
        <w:tabs>
          <w:tab w:val="left" w:pos="1410"/>
        </w:tabs>
        <w:autoSpaceDE w:val="0"/>
        <w:autoSpaceDN w:val="0"/>
        <w:adjustRightInd w:val="0"/>
        <w:spacing w:line="360" w:lineRule="auto"/>
        <w:ind w:firstLine="480" w:firstLineChars="200"/>
        <w:rPr>
          <w:rFonts w:hint="eastAsia" w:ascii="仿宋" w:hAnsi="仿宋" w:eastAsia="仿宋" w:cs="仿宋"/>
          <w:sz w:val="24"/>
        </w:rPr>
      </w:pPr>
      <w:bookmarkStart w:id="4" w:name="heading_8"/>
      <w:r>
        <w:rPr>
          <w:rFonts w:hint="eastAsia" w:ascii="仿宋" w:hAnsi="仿宋" w:eastAsia="仿宋" w:cs="仿宋"/>
          <w:sz w:val="24"/>
          <w:lang w:val="en-US" w:eastAsia="zh-CN"/>
        </w:rPr>
        <w:t>⑤</w:t>
      </w:r>
      <w:r>
        <w:rPr>
          <w:rFonts w:hint="eastAsia" w:ascii="仿宋" w:hAnsi="仿宋" w:eastAsia="仿宋" w:cs="仿宋"/>
          <w:sz w:val="24"/>
        </w:rPr>
        <w:t>数据标准化与安全管理需进一步加强</w:t>
      </w:r>
      <w:bookmarkEnd w:id="4"/>
    </w:p>
    <w:p w14:paraId="0898C3A7">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现有各类数据的采集、存储、归档缺乏统一的标准规范，数据质量参差不齐，难以支撑数据共享与科研分析；数据安全管理体系不完善，缺乏完善的备份与灾备机制，对患者隐私、职业健康数据的保护力度不足，同时未完全满足信创与等保合规要求，存在数据泄露、系统故障的安全隐患。</w:t>
      </w:r>
    </w:p>
    <w:p w14:paraId="02121708">
      <w:pPr>
        <w:tabs>
          <w:tab w:val="left" w:pos="1410"/>
        </w:tabs>
        <w:autoSpaceDE w:val="0"/>
        <w:autoSpaceDN w:val="0"/>
        <w:adjustRightInd w:val="0"/>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2.惠州市皮肤病防治研究所</w:t>
      </w:r>
    </w:p>
    <w:p w14:paraId="4F72BB92">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目前，惠州市皮肤病医院信息化基础设施具备一定规模，配备的基础硬件设备，为日常运营提供了基本的计算、存储与网络支持。这些设备涵盖了服务器、网络交换与路由设备、网络安全设备以及存储备份系统等关键类别。但整体系统架构陈旧，存在性能瓶颈和兼容性问题，且仍需承载现有院区的信息化应用运行，难以满足新院区建成后的数据处理、高性能计算及并发访问等信息化应用需求和未来业务发展需求。</w:t>
      </w:r>
    </w:p>
    <w:p w14:paraId="67F16B8E">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信息化现状具体如下：</w:t>
      </w:r>
    </w:p>
    <w:p w14:paraId="4BC5A9A1">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①</w:t>
      </w:r>
      <w:r>
        <w:rPr>
          <w:rFonts w:hint="eastAsia" w:ascii="仿宋" w:hAnsi="仿宋" w:eastAsia="仿宋" w:cs="仿宋"/>
          <w:sz w:val="24"/>
        </w:rPr>
        <w:t>网络基础设施</w:t>
      </w:r>
    </w:p>
    <w:p w14:paraId="38ECC727">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医院网络基础设施已构建基本框架。现有网络采用分层网络架构，核心层通过H3C S5500系列交换机连接汇聚层和接入层设备。出口链路包括电信双出口、政务外网、医保专线及互联互通VPN，支持内外部数据交互。淡水门诊、横江二路制剂室等分院点未设本地机房，完全依赖运营商的VPN专线访问总院的HIS系统及数据库。</w:t>
      </w:r>
    </w:p>
    <w:p w14:paraId="3E2C5057">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网络路由设备性能仅为百兆级别，在当前高并发业务流量下已成为瓶颈，导致高峰期系统响应延迟。院内存在网络</w:t>
      </w:r>
      <w:r>
        <w:rPr>
          <w:rFonts w:hint="eastAsia" w:ascii="仿宋" w:hAnsi="仿宋" w:eastAsia="仿宋" w:cs="仿宋"/>
          <w:sz w:val="24"/>
          <w:lang w:val="en-US" w:eastAsia="zh-CN"/>
        </w:rPr>
        <w:t>不稳定</w:t>
      </w:r>
      <w:r>
        <w:rPr>
          <w:rFonts w:hint="eastAsia" w:ascii="仿宋" w:hAnsi="仿宋" w:eastAsia="仿宋" w:cs="仿宋"/>
          <w:sz w:val="24"/>
        </w:rPr>
        <w:t>情况，且HIS系统断网后无法自动恢复，需人工干预，严重影响业务连续性。分院业务的连续性直接受制于VPN专线的稳定性，一旦专线故障，分院业务将陷入瘫痪。此外，无线网络覆盖不足，无法满足新院区移动办公和患者无线接入的需求。整体而言，现有网络在性能、冗余性和可靠性上均难以支撑当前及未来的业务发展。</w:t>
      </w:r>
    </w:p>
    <w:p w14:paraId="40FE9A44">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default" w:ascii="仿宋" w:hAnsi="仿宋" w:eastAsia="仿宋" w:cs="仿宋"/>
          <w:sz w:val="24"/>
        </w:rPr>
        <w:t>②</w:t>
      </w:r>
      <w:r>
        <w:rPr>
          <w:rFonts w:hint="eastAsia" w:ascii="仿宋" w:hAnsi="仿宋" w:eastAsia="仿宋" w:cs="仿宋"/>
          <w:sz w:val="24"/>
        </w:rPr>
        <w:t>现有信息化基础设备</w:t>
      </w:r>
    </w:p>
    <w:p w14:paraId="3E28A6F2">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医院现有信息化基础设备有服务器、存储、各类网络设备、安全设备等。</w:t>
      </w:r>
    </w:p>
    <w:p w14:paraId="7EA457DD">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当前网络基础设施面临三重挑战：首先，核心网络设备性能已无法匹配业务增长需求，高峰期检查数据上传、远程诊疗影像调阅等并发流量常引发网络拥堵，导致挂号系统响应延迟，门诊医生工作站调阅电子病历平均等待时间过长，严重影响诊疗效率。其次，安全防护体系仍以边界防御为主，虽部署了基础防火墙，但缺乏终端行为监控、内部威胁检测等纵深措施。且部分网络交换设备已超期运行，远超安全服役周期。这些问题共同构成系统性风险，既制约了皮肤病诊疗平台实时数据交互能力，亦难以满足《医疗卫生机构网络安全管理办法》中关于业务连续性保障的要求。</w:t>
      </w:r>
    </w:p>
    <w:p w14:paraId="05A2231D">
      <w:pPr>
        <w:pStyle w:val="3"/>
        <w:numPr>
          <w:ilvl w:val="0"/>
          <w:numId w:val="4"/>
        </w:numPr>
        <w:tabs>
          <w:tab w:val="left" w:pos="709"/>
        </w:tabs>
        <w:rPr>
          <w:rFonts w:hint="eastAsia" w:ascii="仿宋" w:hAnsi="仿宋" w:eastAsia="仿宋" w:cs="仿宋"/>
          <w:sz w:val="24"/>
          <w:szCs w:val="24"/>
        </w:rPr>
      </w:pPr>
      <w:r>
        <w:rPr>
          <w:rFonts w:hint="eastAsia" w:ascii="仿宋" w:hAnsi="仿宋" w:eastAsia="仿宋" w:cs="仿宋"/>
          <w:sz w:val="24"/>
          <w:szCs w:val="24"/>
        </w:rPr>
        <w:t>需求分析</w:t>
      </w:r>
    </w:p>
    <w:p w14:paraId="1BF543E5">
      <w:pPr>
        <w:tabs>
          <w:tab w:val="left" w:pos="1410"/>
        </w:tabs>
        <w:autoSpaceDE w:val="0"/>
        <w:autoSpaceDN w:val="0"/>
        <w:adjustRightInd w:val="0"/>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1.惠州市职业病防治院</w:t>
      </w:r>
    </w:p>
    <w:p w14:paraId="3D031419">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结合中心职能定位、现有信息化现状，以及劳动者、用人单位、卫生健康监管部门的实际需求，本次项目的需求主要集中在核心业务、管理运营、基础设施、数据共享、公众服务五个方面，具体如下：</w:t>
      </w:r>
    </w:p>
    <w:p w14:paraId="47CC9ED1">
      <w:pPr>
        <w:tabs>
          <w:tab w:val="left" w:pos="1410"/>
        </w:tabs>
        <w:autoSpaceDE w:val="0"/>
        <w:autoSpaceDN w:val="0"/>
        <w:adjustRightInd w:val="0"/>
        <w:spacing w:line="360" w:lineRule="auto"/>
        <w:ind w:firstLine="480" w:firstLineChars="200"/>
        <w:rPr>
          <w:rFonts w:hint="eastAsia" w:ascii="仿宋" w:hAnsi="仿宋" w:eastAsia="仿宋" w:cs="仿宋"/>
          <w:sz w:val="24"/>
        </w:rPr>
      </w:pPr>
      <w:bookmarkStart w:id="5" w:name="heading_10"/>
      <w:r>
        <w:rPr>
          <w:rFonts w:hint="eastAsia" w:ascii="仿宋" w:hAnsi="仿宋" w:eastAsia="仿宋" w:cs="仿宋"/>
          <w:sz w:val="24"/>
          <w:lang w:val="en-US" w:eastAsia="zh-CN"/>
        </w:rPr>
        <w:t>①</w:t>
      </w:r>
      <w:r>
        <w:rPr>
          <w:rFonts w:hint="eastAsia" w:ascii="仿宋" w:hAnsi="仿宋" w:eastAsia="仿宋" w:cs="仿宋"/>
          <w:sz w:val="24"/>
        </w:rPr>
        <w:t>核心业务智能化需求</w:t>
      </w:r>
      <w:bookmarkEnd w:id="5"/>
    </w:p>
    <w:p w14:paraId="15071379">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一是诊疗服务需求，需要构建达到三级标准的电子病历系统，实现门诊、住院诊疗流程的一体化集成，完善职业病诊断支持、职业健康档案管理等特色功能，优化诊间结算、处方流转等环节，减少患者奔波等待，提升诊疗效率与规范化水平；同时建设标准化PACS系统，实现影像采集、存储、分析、共享的全流程优化，引入AI辅助诊断技术，提升影像诊断的精准度与效率，支撑远程会诊业务开展。</w:t>
      </w:r>
    </w:p>
    <w:p w14:paraId="6F7B1969">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二是职业卫生服务需求，需要升级职业卫生检测模块，实现检测项目报价、方案生成、数据录入、报告归档的全流程自动化与可视化管理，支持多格式实验数据导入与检测报告一键报送，提升检测效率与准确性；完善职业卫生培训模块，提供多样化培训与考核方式，实现培训内容精准推送，支持移动端学习与学时记录，满足企业与劳动者的职业健康培训需求。</w:t>
      </w:r>
    </w:p>
    <w:p w14:paraId="4689886D">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三是药品管理需求，需要构建专业化的药库药房系统，实现职业病特效药的专项采购、分区存储、效期预警与精准调配，完善药品质量验收与用药指导功能，保障药品供应安全与用药合理。</w:t>
      </w:r>
    </w:p>
    <w:p w14:paraId="242047A3">
      <w:pPr>
        <w:tabs>
          <w:tab w:val="left" w:pos="1410"/>
        </w:tabs>
        <w:autoSpaceDE w:val="0"/>
        <w:autoSpaceDN w:val="0"/>
        <w:adjustRightInd w:val="0"/>
        <w:spacing w:line="360" w:lineRule="auto"/>
        <w:ind w:firstLine="480" w:firstLineChars="200"/>
        <w:rPr>
          <w:rFonts w:hint="eastAsia" w:ascii="仿宋" w:hAnsi="仿宋" w:eastAsia="仿宋" w:cs="仿宋"/>
          <w:sz w:val="24"/>
        </w:rPr>
      </w:pPr>
      <w:bookmarkStart w:id="6" w:name="heading_11"/>
      <w:r>
        <w:rPr>
          <w:rFonts w:hint="eastAsia" w:ascii="仿宋" w:hAnsi="仿宋" w:eastAsia="仿宋" w:cs="仿宋"/>
          <w:sz w:val="24"/>
          <w:lang w:val="en-US" w:eastAsia="zh-CN"/>
        </w:rPr>
        <w:t>②</w:t>
      </w:r>
      <w:r>
        <w:rPr>
          <w:rFonts w:hint="eastAsia" w:ascii="仿宋" w:hAnsi="仿宋" w:eastAsia="仿宋" w:cs="仿宋"/>
          <w:sz w:val="24"/>
        </w:rPr>
        <w:t>管理运营精细化需求</w:t>
      </w:r>
      <w:bookmarkEnd w:id="6"/>
    </w:p>
    <w:p w14:paraId="240CCE6D">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一是财务管理需求，需要搭建一体化财务系统，实现预算管理、成本核算、收入管理、资产管理的精细化与自动化，完善职业病专项经费管理、公卫经费管理、智能对账、电子票据管理等功能，确保财务工作合规高效，满足财政监管要求。</w:t>
      </w:r>
    </w:p>
    <w:p w14:paraId="0588070F">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二是运营管理需求，需要构建智能化运营管理系统，实现职业卫生业务全流程管理、资源调度优化、质量管理提升、绩效管理科学化，推动业财一体化，实现业务数据与财务数据的自动对接，同时提供多维度分析与预测功能，为管理层决策提供数据支撑。</w:t>
      </w:r>
    </w:p>
    <w:p w14:paraId="18CF9FBD">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三是官网管理需求，需要优化官网板块设置，完善信息发布、业务指引、科普宣传等功能，构建“编辑—审核—发布—管理”的全流程操作体系，落实三级审核制度，确保信息发布的准确、合规、可追溯，提升公众服务能力。</w:t>
      </w:r>
    </w:p>
    <w:p w14:paraId="19C575ED">
      <w:pPr>
        <w:tabs>
          <w:tab w:val="left" w:pos="1410"/>
        </w:tabs>
        <w:autoSpaceDE w:val="0"/>
        <w:autoSpaceDN w:val="0"/>
        <w:adjustRightInd w:val="0"/>
        <w:spacing w:line="360" w:lineRule="auto"/>
        <w:ind w:firstLine="480" w:firstLineChars="200"/>
        <w:rPr>
          <w:rFonts w:hint="eastAsia" w:ascii="仿宋" w:hAnsi="仿宋" w:eastAsia="仿宋" w:cs="仿宋"/>
          <w:sz w:val="24"/>
        </w:rPr>
      </w:pPr>
      <w:bookmarkStart w:id="7" w:name="heading_12"/>
      <w:r>
        <w:rPr>
          <w:rFonts w:hint="eastAsia" w:ascii="仿宋" w:hAnsi="仿宋" w:eastAsia="仿宋" w:cs="仿宋"/>
          <w:sz w:val="24"/>
          <w:lang w:val="en-US" w:eastAsia="zh-CN"/>
        </w:rPr>
        <w:t>③</w:t>
      </w:r>
      <w:r>
        <w:rPr>
          <w:rFonts w:hint="eastAsia" w:ascii="仿宋" w:hAnsi="仿宋" w:eastAsia="仿宋" w:cs="仿宋"/>
          <w:sz w:val="24"/>
        </w:rPr>
        <w:t>基础设施可靠化需求</w:t>
      </w:r>
      <w:bookmarkEnd w:id="7"/>
    </w:p>
    <w:p w14:paraId="79A11748">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需要整合现有计算资源与新购资源，构建满足信创要求的计算资源体系，将现有超融合节点组成集群承载核心业务，配备独立数据库服务器处理算力密集型任务，实现资源动态分配；构建分级存储架构，实现高频访问数据、近线数据、归档数据的差异化存储，降低存储成本并提升访问效率。同时，优化网络基础设施，实现旧院区、新院区与大亚湾分院的网络联动，搭建完善的灾备架构，保障核心业务系统连续运行，满足等保合规要求，提升网络安全性与稳定性。</w:t>
      </w:r>
    </w:p>
    <w:p w14:paraId="567F7811">
      <w:pPr>
        <w:tabs>
          <w:tab w:val="left" w:pos="1410"/>
        </w:tabs>
        <w:autoSpaceDE w:val="0"/>
        <w:autoSpaceDN w:val="0"/>
        <w:adjustRightInd w:val="0"/>
        <w:spacing w:line="360" w:lineRule="auto"/>
        <w:ind w:firstLine="480" w:firstLineChars="200"/>
        <w:rPr>
          <w:rFonts w:hint="eastAsia" w:ascii="仿宋" w:hAnsi="仿宋" w:eastAsia="仿宋" w:cs="仿宋"/>
          <w:sz w:val="24"/>
        </w:rPr>
      </w:pPr>
      <w:bookmarkStart w:id="8" w:name="heading_13"/>
      <w:r>
        <w:rPr>
          <w:rFonts w:hint="eastAsia" w:ascii="仿宋" w:hAnsi="仿宋" w:eastAsia="仿宋" w:cs="仿宋"/>
          <w:sz w:val="24"/>
          <w:lang w:val="en-US" w:eastAsia="zh-CN"/>
        </w:rPr>
        <w:t>④</w:t>
      </w:r>
      <w:r>
        <w:rPr>
          <w:rFonts w:hint="eastAsia" w:ascii="仿宋" w:hAnsi="仿宋" w:eastAsia="仿宋" w:cs="仿宋"/>
          <w:sz w:val="24"/>
        </w:rPr>
        <w:t>数据共享与安全需求</w:t>
      </w:r>
      <w:bookmarkEnd w:id="8"/>
    </w:p>
    <w:p w14:paraId="15C699D0">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一是数据共享需求，需要打通各系统数据壁垒，实现诊疗数据、职业健康数据、财务数据、运营数据、影像数据的互联互通，构建统一的数据资源池，支持与用人单位、卫生健康监管部门的数据共享，同时实现与广东省质量控制平台等上级系统的对接，满足数据报送与协同工作需求，形成“机构—省—国家”三级数据贯通体系。</w:t>
      </w:r>
    </w:p>
    <w:p w14:paraId="45364B55">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二是数据安全与合规需求，需要建立完善的数据安全管理体系，落实数据备份与灾备机制，采用加密技术保障数据传输与存储安全，保护患者隐私与职业健康数据；建立统一的数据标准规范，提升数据质量，满足信创与等保合规要求，实现数据的可追溯、可审计。</w:t>
      </w:r>
    </w:p>
    <w:p w14:paraId="4C4AB8FE">
      <w:pPr>
        <w:tabs>
          <w:tab w:val="left" w:pos="1410"/>
        </w:tabs>
        <w:autoSpaceDE w:val="0"/>
        <w:autoSpaceDN w:val="0"/>
        <w:adjustRightInd w:val="0"/>
        <w:spacing w:line="360" w:lineRule="auto"/>
        <w:ind w:firstLine="480" w:firstLineChars="200"/>
        <w:rPr>
          <w:rFonts w:hint="eastAsia" w:ascii="仿宋" w:hAnsi="仿宋" w:eastAsia="仿宋" w:cs="仿宋"/>
          <w:sz w:val="24"/>
        </w:rPr>
      </w:pPr>
      <w:bookmarkStart w:id="9" w:name="heading_14"/>
      <w:r>
        <w:rPr>
          <w:rFonts w:hint="eastAsia" w:ascii="仿宋" w:hAnsi="仿宋" w:eastAsia="仿宋" w:cs="仿宋"/>
          <w:sz w:val="24"/>
          <w:lang w:val="en-US" w:eastAsia="zh-CN"/>
        </w:rPr>
        <w:t>⑤</w:t>
      </w:r>
      <w:r>
        <w:rPr>
          <w:rFonts w:hint="eastAsia" w:ascii="仿宋" w:hAnsi="仿宋" w:eastAsia="仿宋" w:cs="仿宋"/>
          <w:sz w:val="24"/>
        </w:rPr>
        <w:t>公众与企业服务便捷化需求</w:t>
      </w:r>
      <w:bookmarkEnd w:id="9"/>
    </w:p>
    <w:p w14:paraId="5B6ADC57">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需要优化公众服务渠道，通过官网、移动端等渠道，提供便捷的业务预约、报告查询、电子票据下载、科普宣传等服务，减少公众跑腿次数；针对用人单位，提供职业卫生检测预约、培训报名、费用结算、防护指导等一站式服务，完善用人单位协同功能，实现费用分担管理、沟通记录管理等，提升用人单位职业健康管理效率；同时，为劳动者提供个性化的职业健康服务，包括职业健康档案查询、康复指导、随访提醒等，切实保障劳动者职业健康权益。</w:t>
      </w:r>
    </w:p>
    <w:p w14:paraId="370D12C1">
      <w:pPr>
        <w:tabs>
          <w:tab w:val="left" w:pos="1410"/>
        </w:tabs>
        <w:autoSpaceDE w:val="0"/>
        <w:autoSpaceDN w:val="0"/>
        <w:adjustRightIn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2.惠州市皮肤病防治研究所</w:t>
      </w:r>
    </w:p>
    <w:p w14:paraId="6C86C0A0">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基于对惠州市皮肤病医院信息化现状的全面调研与分析，为满足医院业务发展需要和政策合规要求，本项目信息化建设需求具体分析如下：</w:t>
      </w:r>
    </w:p>
    <w:p w14:paraId="7AAF48EF">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网络基础与集成建设需求</w:t>
      </w:r>
    </w:p>
    <w:p w14:paraId="6237A035">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为保障医院各项信息化应用的集成部署和应用，需要在新院区建成后开展新老院区网络集成工作，将新院区网络与原院区网络通过双运营商光纤进行互联，以确保医院整体网络畅通。</w:t>
      </w:r>
    </w:p>
    <w:p w14:paraId="1219D9A5">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①</w:t>
      </w:r>
      <w:r>
        <w:rPr>
          <w:rFonts w:hint="eastAsia" w:ascii="仿宋" w:hAnsi="仿宋" w:eastAsia="仿宋" w:cs="仿宋"/>
          <w:sz w:val="24"/>
        </w:rPr>
        <w:t>物理环境建设需求</w:t>
      </w:r>
    </w:p>
    <w:p w14:paraId="1F895704">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惠州市皮肤病医院新院区建成后，计划通过</w:t>
      </w:r>
      <w:r>
        <w:rPr>
          <w:rFonts w:hint="eastAsia" w:ascii="仿宋" w:hAnsi="仿宋" w:eastAsia="仿宋" w:cs="仿宋"/>
          <w:sz w:val="24"/>
          <w:lang w:val="en-US" w:eastAsia="zh-CN"/>
        </w:rPr>
        <w:t>过渡时间</w:t>
      </w:r>
      <w:r>
        <w:rPr>
          <w:rFonts w:hint="eastAsia" w:ascii="仿宋" w:hAnsi="仿宋" w:eastAsia="仿宋" w:cs="仿宋"/>
          <w:sz w:val="24"/>
        </w:rPr>
        <w:t>逐步完成信息化应用由原院区向新院区的迁移，新院区建设的机房将作为皮肤病医院的主机房存放管理各项核心信息化设备。需要为新建院区机房购置标准机架及UPS电源等设备，实现对各类服务器、网络设备等的有序放置及管理，并保障设备电源供应，确保机房内信息化基础设施正常运行，满足各项信息化应用的持续正常运转。</w:t>
      </w:r>
    </w:p>
    <w:p w14:paraId="1DB16D6D">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②</w:t>
      </w:r>
      <w:r>
        <w:rPr>
          <w:rFonts w:hint="eastAsia" w:ascii="仿宋" w:hAnsi="仿宋" w:eastAsia="仿宋" w:cs="仿宋"/>
          <w:sz w:val="24"/>
        </w:rPr>
        <w:t>应用系统迁移需求</w:t>
      </w:r>
    </w:p>
    <w:p w14:paraId="1CB72C99">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医院现有HIS系统、HRP系统、OA系统、财务U8系统及微信小程序等应用系统基本满足日常业务需求。需要在过渡期内，在保障医院各项业务持续稳定运行的前提下平滑迁移至新院区，并确保迁移过程中及迁移后，各系统能够持续稳定运行。</w:t>
      </w:r>
    </w:p>
    <w:p w14:paraId="698D65EC">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③</w:t>
      </w:r>
      <w:r>
        <w:rPr>
          <w:rFonts w:hint="eastAsia" w:ascii="仿宋" w:hAnsi="仿宋" w:eastAsia="仿宋" w:cs="仿宋"/>
          <w:sz w:val="24"/>
        </w:rPr>
        <w:t>IT基础设施建设需求</w:t>
      </w:r>
    </w:p>
    <w:p w14:paraId="77603D37">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在充分利用现有计算和存储资源的前提下，根据项目建设规模，规划并配置各项信息化应用运行所需的计算资源和存储资源，为惠州市皮肤病医院提供业务连续性保障，满足各项信息化应用高性能计算和存储需求，支撑各项业务的快速部署，保证新院区建成后医院各项业务正常开展。同时，严格遵循国产化技术路线，以自主可控、安全可靠为核心，在硬件复用适配、软件全栈选型、安全体系构建及全流程管控中全面落实国产化要求，充分利旧现有合规设备，新增软硬件均选用经认证的国产化产品，确保信息化建设全链条符合国产化标准，筑牢自主可控的技术安全防线。</w:t>
      </w:r>
    </w:p>
    <w:p w14:paraId="1DE15CE0">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开展网络设施建设。对网络系统进行整体规划，在充分利旧的基础上配置必要的经国产化认证的网络设备，形成冗余高可靠的网络架构，并根据信息安全需求进行多业务隔离和网络性能的整体提升，实现对所有网络设备的集中运维和管理。</w:t>
      </w:r>
    </w:p>
    <w:p w14:paraId="6C57D2FE">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④</w:t>
      </w:r>
      <w:r>
        <w:rPr>
          <w:rFonts w:hint="eastAsia" w:ascii="仿宋" w:hAnsi="仿宋" w:eastAsia="仿宋" w:cs="仿宋"/>
          <w:sz w:val="24"/>
        </w:rPr>
        <w:t>信息安全建设需求</w:t>
      </w:r>
    </w:p>
    <w:p w14:paraId="0F1A9958">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医院当前信息安全体系存在明显短板，需要通过信息安全建设补齐安全能力缺口。急需部署上网行为管理系统、运维堡垒机、数据库审计系统、下一代防火墙和态势感知平台等，构建从网络边界、内部网络到数据层面的纵深防御体系，实现对网络流量、用户行为和数据访问的全方位监控与审计。</w:t>
      </w:r>
    </w:p>
    <w:p w14:paraId="650BA953">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⑤</w:t>
      </w:r>
      <w:r>
        <w:rPr>
          <w:rFonts w:hint="eastAsia" w:ascii="仿宋" w:hAnsi="仿宋" w:eastAsia="仿宋" w:cs="仿宋"/>
          <w:sz w:val="24"/>
        </w:rPr>
        <w:t>自助服务配套建设</w:t>
      </w:r>
      <w:r>
        <w:rPr>
          <w:rFonts w:hint="eastAsia" w:ascii="仿宋" w:hAnsi="仿宋" w:eastAsia="仿宋" w:cs="仿宋"/>
          <w:sz w:val="24"/>
          <w:lang w:val="en-US" w:eastAsia="zh-CN"/>
        </w:rPr>
        <w:t>及其他</w:t>
      </w:r>
      <w:r>
        <w:rPr>
          <w:rFonts w:hint="eastAsia" w:ascii="仿宋" w:hAnsi="仿宋" w:eastAsia="仿宋" w:cs="仿宋"/>
          <w:sz w:val="24"/>
        </w:rPr>
        <w:t>需求</w:t>
      </w:r>
    </w:p>
    <w:p w14:paraId="5DA8BC7D">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为提升患者就医体验和医院运营效率，需加强自助服务配套建设。当前已通过微信小程序提供预约挂号、报告查询等服务，未来可根据需要进一步拓展功能。在新院区，需要以高效的网络和信息系统为支撑，部署实体自助服务终端，并与核心HIS系统无缝对接，用于自助挂号、缴费、打印报告等，分流窗口压力，优化服务流程。</w:t>
      </w:r>
    </w:p>
    <w:p w14:paraId="6ECE509B">
      <w:pPr>
        <w:pStyle w:val="3"/>
        <w:numPr>
          <w:ilvl w:val="0"/>
          <w:numId w:val="4"/>
        </w:numPr>
        <w:tabs>
          <w:tab w:val="left" w:pos="709"/>
        </w:tabs>
        <w:rPr>
          <w:rFonts w:hint="eastAsia" w:ascii="仿宋" w:hAnsi="仿宋" w:eastAsia="仿宋" w:cs="仿宋"/>
          <w:sz w:val="24"/>
          <w:szCs w:val="24"/>
        </w:rPr>
      </w:pPr>
      <w:r>
        <w:rPr>
          <w:rFonts w:hint="eastAsia" w:ascii="仿宋" w:hAnsi="仿宋" w:eastAsia="仿宋" w:cs="仿宋"/>
          <w:sz w:val="24"/>
          <w:szCs w:val="24"/>
        </w:rPr>
        <w:t>项目拟建内容及投资估算</w:t>
      </w:r>
    </w:p>
    <w:p w14:paraId="467FCD2D">
      <w:pPr>
        <w:pStyle w:val="8"/>
        <w:spacing w:after="0"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本次项目建设估计投资1454.2万，拟建设内容初步确定如下：</w:t>
      </w:r>
    </w:p>
    <w:p w14:paraId="2EE01F81">
      <w:pPr>
        <w:rPr>
          <w:rFonts w:hint="default"/>
          <w:lang w:val="en-US" w:eastAsia="zh-CN"/>
        </w:rPr>
      </w:pPr>
      <w:r>
        <w:rPr>
          <w:rFonts w:hint="eastAsia" w:ascii="仿宋" w:hAnsi="仿宋" w:eastAsia="仿宋" w:cs="仿宋"/>
          <w:kern w:val="2"/>
          <w:sz w:val="24"/>
          <w:szCs w:val="24"/>
          <w:lang w:val="en-US" w:eastAsia="zh-CN" w:bidi="ar-SA"/>
        </w:rPr>
        <w:t>1.惠州市职业病防治院</w:t>
      </w:r>
    </w:p>
    <w:p w14:paraId="332BC111">
      <w:pPr>
        <w:rPr>
          <w:rFonts w:hint="eastAsia" w:ascii="仿宋" w:hAnsi="仿宋" w:eastAsia="仿宋" w:cs="仿宋"/>
          <w:kern w:val="2"/>
          <w:sz w:val="24"/>
          <w:szCs w:val="24"/>
          <w:lang w:val="en-US" w:eastAsia="zh-CN" w:bidi="ar-SA"/>
        </w:rPr>
      </w:pPr>
    </w:p>
    <w:tbl>
      <w:tblPr>
        <w:tblStyle w:val="22"/>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2"/>
        <w:gridCol w:w="4163"/>
        <w:gridCol w:w="2820"/>
      </w:tblGrid>
      <w:tr w14:paraId="6D36B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352" w:type="dxa"/>
            <w:vAlign w:val="top"/>
          </w:tcPr>
          <w:p w14:paraId="50AD58DE">
            <w:pPr>
              <w:spacing w:before="58" w:line="242" w:lineRule="auto"/>
              <w:ind w:left="376"/>
              <w:rPr>
                <w:rFonts w:hint="eastAsia" w:ascii="仿宋" w:hAnsi="仿宋" w:eastAsia="仿宋" w:cs="仿宋"/>
                <w:sz w:val="24"/>
                <w:szCs w:val="24"/>
              </w:rPr>
            </w:pPr>
            <w:r>
              <w:rPr>
                <w:rFonts w:hint="eastAsia" w:ascii="仿宋" w:hAnsi="仿宋" w:eastAsia="仿宋" w:cs="仿宋"/>
                <w:spacing w:val="1"/>
                <w:sz w:val="24"/>
                <w:szCs w:val="24"/>
              </w:rPr>
              <w:t>序号</w:t>
            </w:r>
          </w:p>
        </w:tc>
        <w:tc>
          <w:tcPr>
            <w:tcW w:w="4163" w:type="dxa"/>
            <w:vAlign w:val="top"/>
          </w:tcPr>
          <w:p w14:paraId="72D3F209">
            <w:pPr>
              <w:spacing w:before="58" w:line="242" w:lineRule="auto"/>
              <w:jc w:val="center"/>
              <w:rPr>
                <w:rFonts w:hint="eastAsia" w:ascii="仿宋" w:hAnsi="仿宋" w:eastAsia="仿宋" w:cs="仿宋"/>
                <w:sz w:val="24"/>
                <w:szCs w:val="24"/>
              </w:rPr>
            </w:pPr>
            <w:r>
              <w:rPr>
                <w:rFonts w:hint="eastAsia" w:ascii="仿宋" w:hAnsi="仿宋" w:eastAsia="仿宋" w:cs="仿宋"/>
                <w:spacing w:val="-7"/>
                <w:sz w:val="24"/>
                <w:szCs w:val="24"/>
              </w:rPr>
              <w:t>费用构成及名称</w:t>
            </w:r>
          </w:p>
        </w:tc>
        <w:tc>
          <w:tcPr>
            <w:tcW w:w="2820" w:type="dxa"/>
            <w:vAlign w:val="top"/>
          </w:tcPr>
          <w:p w14:paraId="7250F534">
            <w:pPr>
              <w:spacing w:before="58" w:line="242" w:lineRule="auto"/>
              <w:jc w:val="center"/>
              <w:rPr>
                <w:rFonts w:hint="eastAsia" w:ascii="仿宋" w:hAnsi="仿宋" w:eastAsia="仿宋" w:cs="仿宋"/>
                <w:sz w:val="24"/>
                <w:szCs w:val="24"/>
                <w:lang w:eastAsia="zh-CN"/>
              </w:rPr>
            </w:pPr>
            <w:r>
              <w:rPr>
                <w:rFonts w:hint="eastAsia" w:ascii="仿宋" w:hAnsi="仿宋" w:eastAsia="仿宋" w:cs="仿宋"/>
                <w:spacing w:val="-17"/>
                <w:sz w:val="24"/>
                <w:szCs w:val="24"/>
                <w:lang w:val="en-US" w:eastAsia="zh-CN"/>
              </w:rPr>
              <w:t>备</w:t>
            </w:r>
            <w:r>
              <w:rPr>
                <w:rFonts w:hint="eastAsia" w:ascii="仿宋" w:hAnsi="仿宋" w:eastAsia="仿宋" w:cs="仿宋"/>
                <w:spacing w:val="-79"/>
                <w:sz w:val="24"/>
                <w:szCs w:val="24"/>
                <w:lang w:val="en-US" w:eastAsia="zh-CN"/>
              </w:rPr>
              <w:t>注</w:t>
            </w:r>
            <w:r>
              <w:rPr>
                <w:rFonts w:hint="eastAsia" w:ascii="仿宋" w:hAnsi="仿宋" w:eastAsia="仿宋" w:cs="仿宋"/>
                <w:spacing w:val="-17"/>
                <w:sz w:val="24"/>
                <w:szCs w:val="24"/>
                <w:lang w:val="en-US" w:eastAsia="zh-CN"/>
              </w:rPr>
              <w:t xml:space="preserve"> </w:t>
            </w:r>
          </w:p>
        </w:tc>
      </w:tr>
      <w:tr w14:paraId="603A7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352" w:type="dxa"/>
            <w:vAlign w:val="top"/>
          </w:tcPr>
          <w:p w14:paraId="29E47316">
            <w:pPr>
              <w:spacing w:before="208" w:line="237" w:lineRule="exact"/>
              <w:ind w:left="144"/>
              <w:rPr>
                <w:rFonts w:hint="eastAsia" w:ascii="仿宋" w:hAnsi="仿宋" w:eastAsia="仿宋" w:cs="仿宋"/>
                <w:sz w:val="24"/>
                <w:szCs w:val="24"/>
              </w:rPr>
            </w:pPr>
            <w:r>
              <w:rPr>
                <w:rFonts w:hint="eastAsia" w:ascii="仿宋" w:hAnsi="仿宋" w:eastAsia="仿宋" w:cs="仿宋"/>
                <w:b/>
                <w:bCs/>
                <w:spacing w:val="-4"/>
                <w:position w:val="-5"/>
                <w:sz w:val="24"/>
                <w:szCs w:val="24"/>
              </w:rPr>
              <w:t>一</w:t>
            </w:r>
          </w:p>
        </w:tc>
        <w:tc>
          <w:tcPr>
            <w:tcW w:w="4163" w:type="dxa"/>
            <w:vAlign w:val="top"/>
          </w:tcPr>
          <w:p w14:paraId="7DC11E0C">
            <w:pPr>
              <w:spacing w:before="53" w:line="241" w:lineRule="auto"/>
              <w:ind w:left="129"/>
              <w:rPr>
                <w:rFonts w:hint="eastAsia" w:ascii="仿宋" w:hAnsi="仿宋" w:eastAsia="仿宋" w:cs="仿宋"/>
                <w:sz w:val="24"/>
                <w:szCs w:val="24"/>
              </w:rPr>
            </w:pPr>
            <w:r>
              <w:rPr>
                <w:rFonts w:hint="eastAsia" w:ascii="仿宋" w:hAnsi="仿宋" w:eastAsia="仿宋" w:cs="仿宋"/>
                <w:b/>
                <w:bCs/>
                <w:spacing w:val="-10"/>
                <w:sz w:val="24"/>
                <w:szCs w:val="24"/>
              </w:rPr>
              <w:t>工程建设费用</w:t>
            </w:r>
          </w:p>
        </w:tc>
        <w:tc>
          <w:tcPr>
            <w:tcW w:w="2820" w:type="dxa"/>
            <w:vAlign w:val="top"/>
          </w:tcPr>
          <w:p w14:paraId="7AC9CFAC">
            <w:pPr>
              <w:pStyle w:val="23"/>
              <w:spacing w:before="127" w:line="192" w:lineRule="auto"/>
              <w:jc w:val="center"/>
              <w:rPr>
                <w:rFonts w:hint="eastAsia" w:ascii="仿宋" w:hAnsi="仿宋" w:eastAsia="仿宋" w:cs="仿宋"/>
                <w:color w:val="FF0000"/>
                <w:sz w:val="24"/>
                <w:szCs w:val="24"/>
              </w:rPr>
            </w:pPr>
          </w:p>
        </w:tc>
      </w:tr>
      <w:tr w14:paraId="02B77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352" w:type="dxa"/>
            <w:vAlign w:val="top"/>
          </w:tcPr>
          <w:p w14:paraId="10C3E065">
            <w:pPr>
              <w:spacing w:before="56" w:line="239" w:lineRule="auto"/>
              <w:ind w:left="99"/>
              <w:rPr>
                <w:rFonts w:hint="eastAsia" w:ascii="仿宋" w:hAnsi="仿宋" w:eastAsia="仿宋" w:cs="仿宋"/>
                <w:sz w:val="24"/>
                <w:szCs w:val="24"/>
              </w:rPr>
            </w:pPr>
            <w:r>
              <w:rPr>
                <w:rFonts w:hint="eastAsia" w:ascii="仿宋" w:hAnsi="仿宋" w:eastAsia="仿宋" w:cs="仿宋"/>
                <w:spacing w:val="4"/>
                <w:sz w:val="24"/>
                <w:szCs w:val="24"/>
              </w:rPr>
              <w:t>（一）</w:t>
            </w:r>
          </w:p>
        </w:tc>
        <w:tc>
          <w:tcPr>
            <w:tcW w:w="4163" w:type="dxa"/>
            <w:vAlign w:val="top"/>
          </w:tcPr>
          <w:p w14:paraId="2E24F2D5">
            <w:pPr>
              <w:spacing w:before="56" w:line="239" w:lineRule="auto"/>
              <w:ind w:left="123"/>
              <w:rPr>
                <w:rFonts w:hint="eastAsia" w:ascii="仿宋" w:hAnsi="仿宋" w:eastAsia="仿宋" w:cs="仿宋"/>
                <w:sz w:val="24"/>
                <w:szCs w:val="24"/>
              </w:rPr>
            </w:pPr>
            <w:r>
              <w:rPr>
                <w:rFonts w:hint="eastAsia" w:ascii="仿宋" w:hAnsi="仿宋" w:eastAsia="仿宋" w:cs="仿宋"/>
                <w:spacing w:val="-6"/>
                <w:sz w:val="24"/>
                <w:szCs w:val="24"/>
              </w:rPr>
              <w:t>基础设施（软硬件设备采购）</w:t>
            </w:r>
          </w:p>
        </w:tc>
        <w:tc>
          <w:tcPr>
            <w:tcW w:w="2820" w:type="dxa"/>
            <w:vAlign w:val="top"/>
          </w:tcPr>
          <w:p w14:paraId="7E977D2E">
            <w:pPr>
              <w:pStyle w:val="23"/>
              <w:spacing w:before="130" w:line="192" w:lineRule="auto"/>
              <w:jc w:val="center"/>
              <w:rPr>
                <w:rFonts w:hint="eastAsia" w:ascii="仿宋" w:hAnsi="仿宋" w:eastAsia="仿宋" w:cs="仿宋"/>
                <w:color w:val="FF0000"/>
                <w:sz w:val="24"/>
                <w:szCs w:val="24"/>
              </w:rPr>
            </w:pPr>
          </w:p>
        </w:tc>
      </w:tr>
      <w:tr w14:paraId="616BA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352" w:type="dxa"/>
            <w:vAlign w:val="top"/>
          </w:tcPr>
          <w:p w14:paraId="79C676EF">
            <w:pPr>
              <w:pStyle w:val="23"/>
              <w:spacing w:before="130" w:line="192" w:lineRule="auto"/>
              <w:ind w:left="146"/>
              <w:rPr>
                <w:rFonts w:hint="eastAsia" w:ascii="仿宋" w:hAnsi="仿宋" w:eastAsia="仿宋" w:cs="仿宋"/>
                <w:sz w:val="24"/>
                <w:szCs w:val="24"/>
              </w:rPr>
            </w:pPr>
            <w:r>
              <w:rPr>
                <w:rFonts w:hint="eastAsia" w:ascii="仿宋" w:hAnsi="仿宋" w:eastAsia="仿宋" w:cs="仿宋"/>
                <w:sz w:val="24"/>
                <w:szCs w:val="24"/>
              </w:rPr>
              <w:t>1</w:t>
            </w:r>
          </w:p>
        </w:tc>
        <w:tc>
          <w:tcPr>
            <w:tcW w:w="4163" w:type="dxa"/>
            <w:vAlign w:val="top"/>
          </w:tcPr>
          <w:p w14:paraId="57C502B7">
            <w:pPr>
              <w:spacing w:before="56"/>
              <w:ind w:left="126"/>
              <w:rPr>
                <w:rFonts w:hint="eastAsia" w:ascii="仿宋" w:hAnsi="仿宋" w:eastAsia="仿宋" w:cs="仿宋"/>
                <w:sz w:val="24"/>
                <w:szCs w:val="24"/>
              </w:rPr>
            </w:pPr>
            <w:r>
              <w:rPr>
                <w:rFonts w:hint="eastAsia" w:ascii="仿宋" w:hAnsi="仿宋" w:eastAsia="仿宋" w:cs="仿宋"/>
                <w:spacing w:val="-7"/>
                <w:sz w:val="24"/>
                <w:szCs w:val="24"/>
              </w:rPr>
              <w:t>计算资源池建设</w:t>
            </w:r>
          </w:p>
        </w:tc>
        <w:tc>
          <w:tcPr>
            <w:tcW w:w="2820" w:type="dxa"/>
            <w:vAlign w:val="top"/>
          </w:tcPr>
          <w:p w14:paraId="4570B2D1">
            <w:pPr>
              <w:pStyle w:val="23"/>
              <w:spacing w:before="129" w:line="192" w:lineRule="auto"/>
              <w:jc w:val="center"/>
              <w:rPr>
                <w:rFonts w:hint="eastAsia" w:ascii="仿宋" w:hAnsi="仿宋" w:eastAsia="仿宋" w:cs="仿宋"/>
                <w:color w:val="FF0000"/>
                <w:sz w:val="24"/>
                <w:szCs w:val="24"/>
              </w:rPr>
            </w:pPr>
          </w:p>
        </w:tc>
      </w:tr>
      <w:tr w14:paraId="0C3F7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352" w:type="dxa"/>
            <w:vAlign w:val="top"/>
          </w:tcPr>
          <w:p w14:paraId="2ABCC7E6">
            <w:pPr>
              <w:pStyle w:val="23"/>
              <w:spacing w:before="128" w:line="192" w:lineRule="auto"/>
              <w:ind w:left="115"/>
              <w:rPr>
                <w:rFonts w:hint="eastAsia" w:ascii="仿宋" w:hAnsi="仿宋" w:eastAsia="仿宋" w:cs="仿宋"/>
                <w:sz w:val="24"/>
                <w:szCs w:val="24"/>
              </w:rPr>
            </w:pPr>
            <w:r>
              <w:rPr>
                <w:rFonts w:hint="eastAsia" w:ascii="仿宋" w:hAnsi="仿宋" w:eastAsia="仿宋" w:cs="仿宋"/>
                <w:sz w:val="24"/>
                <w:szCs w:val="24"/>
              </w:rPr>
              <w:t>2</w:t>
            </w:r>
          </w:p>
        </w:tc>
        <w:tc>
          <w:tcPr>
            <w:tcW w:w="4163" w:type="dxa"/>
            <w:vAlign w:val="top"/>
          </w:tcPr>
          <w:p w14:paraId="33691520">
            <w:pPr>
              <w:spacing w:before="54"/>
              <w:ind w:left="160"/>
              <w:rPr>
                <w:rFonts w:hint="eastAsia" w:ascii="仿宋" w:hAnsi="仿宋" w:eastAsia="仿宋" w:cs="仿宋"/>
                <w:sz w:val="24"/>
                <w:szCs w:val="24"/>
              </w:rPr>
            </w:pPr>
            <w:r>
              <w:rPr>
                <w:rFonts w:hint="eastAsia" w:ascii="仿宋" w:hAnsi="仿宋" w:eastAsia="仿宋" w:cs="仿宋"/>
                <w:spacing w:val="-13"/>
                <w:sz w:val="24"/>
                <w:szCs w:val="24"/>
              </w:rPr>
              <w:t>网络设施建设</w:t>
            </w:r>
          </w:p>
        </w:tc>
        <w:tc>
          <w:tcPr>
            <w:tcW w:w="2820" w:type="dxa"/>
            <w:vAlign w:val="top"/>
          </w:tcPr>
          <w:p w14:paraId="675292CA">
            <w:pPr>
              <w:pStyle w:val="23"/>
              <w:spacing w:before="128" w:line="192" w:lineRule="auto"/>
              <w:jc w:val="center"/>
              <w:rPr>
                <w:rFonts w:hint="eastAsia" w:ascii="仿宋" w:hAnsi="仿宋" w:eastAsia="仿宋" w:cs="仿宋"/>
                <w:color w:val="FF0000"/>
                <w:sz w:val="24"/>
                <w:szCs w:val="24"/>
              </w:rPr>
            </w:pPr>
          </w:p>
        </w:tc>
      </w:tr>
      <w:tr w14:paraId="5B4C9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352" w:type="dxa"/>
            <w:vAlign w:val="top"/>
          </w:tcPr>
          <w:p w14:paraId="302E3F8C">
            <w:pPr>
              <w:pStyle w:val="23"/>
              <w:spacing w:before="130" w:line="192" w:lineRule="auto"/>
              <w:ind w:left="121"/>
              <w:rPr>
                <w:rFonts w:hint="eastAsia" w:ascii="仿宋" w:hAnsi="仿宋" w:eastAsia="仿宋" w:cs="仿宋"/>
                <w:sz w:val="24"/>
                <w:szCs w:val="24"/>
              </w:rPr>
            </w:pPr>
            <w:r>
              <w:rPr>
                <w:rFonts w:hint="eastAsia" w:ascii="仿宋" w:hAnsi="仿宋" w:eastAsia="仿宋" w:cs="仿宋"/>
                <w:sz w:val="24"/>
                <w:szCs w:val="24"/>
              </w:rPr>
              <w:t>3</w:t>
            </w:r>
          </w:p>
        </w:tc>
        <w:tc>
          <w:tcPr>
            <w:tcW w:w="4163" w:type="dxa"/>
            <w:vAlign w:val="top"/>
          </w:tcPr>
          <w:p w14:paraId="0F224EC2">
            <w:pPr>
              <w:spacing w:before="57" w:line="239" w:lineRule="auto"/>
              <w:ind w:left="123"/>
              <w:rPr>
                <w:rFonts w:hint="eastAsia" w:ascii="仿宋" w:hAnsi="仿宋" w:eastAsia="仿宋" w:cs="仿宋"/>
                <w:sz w:val="24"/>
                <w:szCs w:val="24"/>
              </w:rPr>
            </w:pPr>
            <w:r>
              <w:rPr>
                <w:rFonts w:hint="eastAsia" w:ascii="仿宋" w:hAnsi="仿宋" w:eastAsia="仿宋" w:cs="仿宋"/>
                <w:spacing w:val="-7"/>
                <w:sz w:val="24"/>
                <w:szCs w:val="24"/>
              </w:rPr>
              <w:t>信息安全建设</w:t>
            </w:r>
          </w:p>
        </w:tc>
        <w:tc>
          <w:tcPr>
            <w:tcW w:w="2820" w:type="dxa"/>
            <w:vAlign w:val="top"/>
          </w:tcPr>
          <w:p w14:paraId="5649E598">
            <w:pPr>
              <w:pStyle w:val="23"/>
              <w:spacing w:before="130" w:line="192" w:lineRule="auto"/>
              <w:jc w:val="center"/>
              <w:rPr>
                <w:rFonts w:hint="eastAsia" w:ascii="仿宋" w:hAnsi="仿宋" w:eastAsia="仿宋" w:cs="仿宋"/>
                <w:color w:val="FF0000"/>
                <w:sz w:val="24"/>
                <w:szCs w:val="24"/>
              </w:rPr>
            </w:pPr>
          </w:p>
        </w:tc>
      </w:tr>
      <w:tr w14:paraId="3D594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352" w:type="dxa"/>
            <w:vAlign w:val="top"/>
          </w:tcPr>
          <w:p w14:paraId="762C005C">
            <w:pPr>
              <w:spacing w:before="56"/>
              <w:ind w:left="99"/>
              <w:rPr>
                <w:rFonts w:hint="eastAsia" w:ascii="仿宋" w:hAnsi="仿宋" w:eastAsia="仿宋" w:cs="仿宋"/>
                <w:sz w:val="24"/>
                <w:szCs w:val="24"/>
              </w:rPr>
            </w:pPr>
            <w:r>
              <w:rPr>
                <w:rFonts w:hint="eastAsia" w:ascii="仿宋" w:hAnsi="仿宋" w:eastAsia="仿宋" w:cs="仿宋"/>
                <w:spacing w:val="4"/>
                <w:sz w:val="24"/>
                <w:szCs w:val="24"/>
              </w:rPr>
              <w:t>（二）</w:t>
            </w:r>
          </w:p>
        </w:tc>
        <w:tc>
          <w:tcPr>
            <w:tcW w:w="4163" w:type="dxa"/>
            <w:vAlign w:val="top"/>
          </w:tcPr>
          <w:p w14:paraId="069658E7">
            <w:pPr>
              <w:spacing w:before="56"/>
              <w:ind w:left="120"/>
              <w:rPr>
                <w:rFonts w:hint="eastAsia" w:ascii="仿宋" w:hAnsi="仿宋" w:eastAsia="仿宋" w:cs="仿宋"/>
                <w:sz w:val="24"/>
                <w:szCs w:val="24"/>
              </w:rPr>
            </w:pPr>
            <w:r>
              <w:rPr>
                <w:rFonts w:hint="eastAsia" w:ascii="仿宋" w:hAnsi="仿宋" w:eastAsia="仿宋" w:cs="仿宋"/>
                <w:spacing w:val="-6"/>
                <w:sz w:val="24"/>
                <w:szCs w:val="24"/>
              </w:rPr>
              <w:t>定制开发费</w:t>
            </w:r>
          </w:p>
        </w:tc>
        <w:tc>
          <w:tcPr>
            <w:tcW w:w="2820" w:type="dxa"/>
            <w:vAlign w:val="top"/>
          </w:tcPr>
          <w:p w14:paraId="228D1214">
            <w:pPr>
              <w:pStyle w:val="23"/>
              <w:spacing w:before="129" w:line="192" w:lineRule="auto"/>
              <w:jc w:val="center"/>
              <w:rPr>
                <w:rFonts w:hint="eastAsia" w:ascii="仿宋" w:hAnsi="仿宋" w:eastAsia="仿宋" w:cs="仿宋"/>
                <w:color w:val="FF0000"/>
                <w:sz w:val="24"/>
                <w:szCs w:val="24"/>
              </w:rPr>
            </w:pPr>
          </w:p>
        </w:tc>
      </w:tr>
      <w:tr w14:paraId="2B23B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352" w:type="dxa"/>
            <w:vAlign w:val="top"/>
          </w:tcPr>
          <w:p w14:paraId="2E297C70">
            <w:pPr>
              <w:spacing w:before="56"/>
              <w:ind w:left="126"/>
              <w:rPr>
                <w:rFonts w:hint="eastAsia" w:ascii="仿宋" w:hAnsi="仿宋" w:eastAsia="仿宋" w:cs="仿宋"/>
                <w:spacing w:val="-7"/>
                <w:sz w:val="24"/>
                <w:szCs w:val="24"/>
              </w:rPr>
            </w:pPr>
            <w:r>
              <w:rPr>
                <w:rFonts w:hint="eastAsia" w:ascii="仿宋" w:hAnsi="仿宋" w:eastAsia="仿宋" w:cs="仿宋"/>
                <w:spacing w:val="-7"/>
                <w:sz w:val="24"/>
                <w:szCs w:val="24"/>
              </w:rPr>
              <w:t>1</w:t>
            </w:r>
          </w:p>
        </w:tc>
        <w:tc>
          <w:tcPr>
            <w:tcW w:w="4163" w:type="dxa"/>
            <w:vAlign w:val="top"/>
          </w:tcPr>
          <w:p w14:paraId="05AF77AB">
            <w:pPr>
              <w:spacing w:before="56"/>
              <w:ind w:left="126"/>
              <w:rPr>
                <w:rFonts w:hint="eastAsia" w:ascii="仿宋" w:hAnsi="仿宋" w:eastAsia="仿宋" w:cs="仿宋"/>
                <w:spacing w:val="-7"/>
                <w:sz w:val="24"/>
                <w:szCs w:val="24"/>
              </w:rPr>
            </w:pPr>
            <w:r>
              <w:rPr>
                <w:rFonts w:hint="eastAsia" w:ascii="仿宋" w:hAnsi="仿宋" w:eastAsia="仿宋" w:cs="仿宋"/>
                <w:spacing w:val="-7"/>
                <w:sz w:val="24"/>
                <w:szCs w:val="24"/>
              </w:rPr>
              <w:t>HIS系统</w:t>
            </w:r>
          </w:p>
        </w:tc>
        <w:tc>
          <w:tcPr>
            <w:tcW w:w="2820" w:type="dxa"/>
            <w:vAlign w:val="top"/>
          </w:tcPr>
          <w:p w14:paraId="716E9C96">
            <w:pPr>
              <w:spacing w:before="56"/>
              <w:ind w:left="126"/>
              <w:jc w:val="center"/>
              <w:rPr>
                <w:rFonts w:hint="eastAsia" w:ascii="仿宋" w:hAnsi="仿宋" w:eastAsia="仿宋" w:cs="仿宋"/>
                <w:color w:val="FF0000"/>
                <w:spacing w:val="-7"/>
                <w:sz w:val="24"/>
                <w:szCs w:val="24"/>
              </w:rPr>
            </w:pPr>
          </w:p>
        </w:tc>
      </w:tr>
      <w:tr w14:paraId="412C5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352" w:type="dxa"/>
            <w:vAlign w:val="top"/>
          </w:tcPr>
          <w:p w14:paraId="16C8E3CF">
            <w:pPr>
              <w:pStyle w:val="23"/>
              <w:spacing w:before="130" w:line="192" w:lineRule="auto"/>
              <w:ind w:left="115"/>
              <w:rPr>
                <w:rFonts w:hint="eastAsia" w:ascii="仿宋" w:hAnsi="仿宋" w:eastAsia="仿宋" w:cs="仿宋"/>
                <w:sz w:val="24"/>
                <w:szCs w:val="24"/>
              </w:rPr>
            </w:pPr>
            <w:r>
              <w:rPr>
                <w:rFonts w:hint="eastAsia" w:ascii="仿宋" w:hAnsi="仿宋" w:eastAsia="仿宋" w:cs="仿宋"/>
                <w:sz w:val="24"/>
                <w:szCs w:val="24"/>
              </w:rPr>
              <w:t>2</w:t>
            </w:r>
          </w:p>
        </w:tc>
        <w:tc>
          <w:tcPr>
            <w:tcW w:w="4163" w:type="dxa"/>
            <w:vAlign w:val="top"/>
          </w:tcPr>
          <w:p w14:paraId="0106469A">
            <w:pPr>
              <w:spacing w:before="56" w:line="239" w:lineRule="auto"/>
              <w:ind w:left="128"/>
              <w:rPr>
                <w:rFonts w:hint="eastAsia" w:ascii="仿宋" w:hAnsi="仿宋" w:eastAsia="仿宋" w:cs="仿宋"/>
                <w:sz w:val="24"/>
                <w:szCs w:val="24"/>
              </w:rPr>
            </w:pPr>
            <w:r>
              <w:rPr>
                <w:rFonts w:hint="eastAsia" w:ascii="仿宋" w:hAnsi="仿宋" w:eastAsia="仿宋" w:cs="仿宋"/>
                <w:spacing w:val="-7"/>
                <w:sz w:val="24"/>
                <w:szCs w:val="24"/>
              </w:rPr>
              <w:t>数智化职业健康管理系统升级（二期）</w:t>
            </w:r>
          </w:p>
        </w:tc>
        <w:tc>
          <w:tcPr>
            <w:tcW w:w="2820" w:type="dxa"/>
            <w:vAlign w:val="top"/>
          </w:tcPr>
          <w:p w14:paraId="55CF5E83">
            <w:pPr>
              <w:pStyle w:val="23"/>
              <w:spacing w:before="130" w:line="192" w:lineRule="auto"/>
              <w:jc w:val="center"/>
              <w:rPr>
                <w:rFonts w:hint="eastAsia" w:ascii="仿宋" w:hAnsi="仿宋" w:eastAsia="仿宋" w:cs="仿宋"/>
                <w:color w:val="FF0000"/>
                <w:sz w:val="24"/>
                <w:szCs w:val="24"/>
              </w:rPr>
            </w:pPr>
          </w:p>
        </w:tc>
      </w:tr>
      <w:tr w14:paraId="3FBC7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352" w:type="dxa"/>
            <w:vAlign w:val="top"/>
          </w:tcPr>
          <w:p w14:paraId="02A70036">
            <w:pPr>
              <w:pStyle w:val="23"/>
              <w:spacing w:before="130" w:line="192" w:lineRule="auto"/>
              <w:ind w:left="121"/>
              <w:rPr>
                <w:rFonts w:hint="eastAsia" w:ascii="仿宋" w:hAnsi="仿宋" w:eastAsia="仿宋" w:cs="仿宋"/>
                <w:sz w:val="24"/>
                <w:szCs w:val="24"/>
              </w:rPr>
            </w:pPr>
            <w:r>
              <w:rPr>
                <w:rFonts w:hint="eastAsia" w:ascii="仿宋" w:hAnsi="仿宋" w:eastAsia="仿宋" w:cs="仿宋"/>
                <w:sz w:val="24"/>
                <w:szCs w:val="24"/>
              </w:rPr>
              <w:t>3</w:t>
            </w:r>
          </w:p>
        </w:tc>
        <w:tc>
          <w:tcPr>
            <w:tcW w:w="4163" w:type="dxa"/>
            <w:vAlign w:val="top"/>
          </w:tcPr>
          <w:p w14:paraId="34F0F904">
            <w:pPr>
              <w:spacing w:before="55"/>
              <w:ind w:left="128"/>
              <w:rPr>
                <w:rFonts w:hint="eastAsia" w:ascii="仿宋" w:hAnsi="仿宋" w:eastAsia="仿宋" w:cs="仿宋"/>
                <w:sz w:val="24"/>
                <w:szCs w:val="24"/>
              </w:rPr>
            </w:pPr>
            <w:r>
              <w:rPr>
                <w:rFonts w:hint="eastAsia" w:ascii="仿宋" w:hAnsi="仿宋" w:eastAsia="仿宋" w:cs="仿宋"/>
                <w:spacing w:val="-8"/>
                <w:sz w:val="24"/>
                <w:szCs w:val="24"/>
              </w:rPr>
              <w:t>单位网站</w:t>
            </w:r>
          </w:p>
        </w:tc>
        <w:tc>
          <w:tcPr>
            <w:tcW w:w="2820" w:type="dxa"/>
            <w:vAlign w:val="top"/>
          </w:tcPr>
          <w:p w14:paraId="7027D6AE">
            <w:pPr>
              <w:pStyle w:val="23"/>
              <w:spacing w:before="130" w:line="192" w:lineRule="auto"/>
              <w:jc w:val="center"/>
              <w:rPr>
                <w:rFonts w:hint="eastAsia" w:ascii="仿宋" w:hAnsi="仿宋" w:eastAsia="仿宋" w:cs="仿宋"/>
                <w:color w:val="FF0000"/>
                <w:sz w:val="24"/>
                <w:szCs w:val="24"/>
              </w:rPr>
            </w:pPr>
          </w:p>
        </w:tc>
      </w:tr>
      <w:tr w14:paraId="6C01D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352" w:type="dxa"/>
            <w:vAlign w:val="top"/>
          </w:tcPr>
          <w:p w14:paraId="43889DFC">
            <w:pPr>
              <w:pStyle w:val="23"/>
              <w:spacing w:before="131" w:line="192" w:lineRule="auto"/>
              <w:ind w:left="113"/>
              <w:rPr>
                <w:rFonts w:hint="eastAsia" w:ascii="仿宋" w:hAnsi="仿宋" w:eastAsia="仿宋" w:cs="仿宋"/>
                <w:sz w:val="24"/>
                <w:szCs w:val="24"/>
              </w:rPr>
            </w:pPr>
            <w:r>
              <w:rPr>
                <w:rFonts w:hint="eastAsia" w:ascii="仿宋" w:hAnsi="仿宋" w:eastAsia="仿宋" w:cs="仿宋"/>
                <w:sz w:val="24"/>
                <w:szCs w:val="24"/>
              </w:rPr>
              <w:t>4</w:t>
            </w:r>
          </w:p>
        </w:tc>
        <w:tc>
          <w:tcPr>
            <w:tcW w:w="4163" w:type="dxa"/>
            <w:vAlign w:val="top"/>
          </w:tcPr>
          <w:p w14:paraId="7736393C">
            <w:pPr>
              <w:spacing w:before="58" w:line="238" w:lineRule="auto"/>
              <w:ind w:left="124"/>
              <w:rPr>
                <w:rFonts w:hint="eastAsia" w:ascii="仿宋" w:hAnsi="仿宋" w:eastAsia="仿宋" w:cs="仿宋"/>
                <w:sz w:val="24"/>
                <w:szCs w:val="24"/>
              </w:rPr>
            </w:pPr>
            <w:r>
              <w:rPr>
                <w:rFonts w:hint="eastAsia" w:ascii="仿宋" w:hAnsi="仿宋" w:eastAsia="仿宋" w:cs="仿宋"/>
                <w:spacing w:val="-7"/>
                <w:sz w:val="24"/>
                <w:szCs w:val="24"/>
              </w:rPr>
              <w:t>财务和运营系统</w:t>
            </w:r>
          </w:p>
        </w:tc>
        <w:tc>
          <w:tcPr>
            <w:tcW w:w="2820" w:type="dxa"/>
            <w:vAlign w:val="top"/>
          </w:tcPr>
          <w:p w14:paraId="7D9B4EDF">
            <w:pPr>
              <w:pStyle w:val="23"/>
              <w:spacing w:before="131" w:line="192" w:lineRule="auto"/>
              <w:jc w:val="center"/>
              <w:rPr>
                <w:rFonts w:hint="eastAsia" w:ascii="仿宋" w:hAnsi="仿宋" w:eastAsia="仿宋" w:cs="仿宋"/>
                <w:color w:val="FF0000"/>
                <w:sz w:val="24"/>
                <w:szCs w:val="24"/>
              </w:rPr>
            </w:pPr>
          </w:p>
        </w:tc>
      </w:tr>
      <w:tr w14:paraId="4DF9F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352" w:type="dxa"/>
            <w:vAlign w:val="top"/>
          </w:tcPr>
          <w:p w14:paraId="30C5B512">
            <w:pPr>
              <w:pStyle w:val="23"/>
              <w:spacing w:before="136" w:line="189" w:lineRule="auto"/>
              <w:ind w:left="124"/>
              <w:rPr>
                <w:rFonts w:hint="eastAsia" w:ascii="仿宋" w:hAnsi="仿宋" w:eastAsia="仿宋" w:cs="仿宋"/>
                <w:sz w:val="24"/>
                <w:szCs w:val="24"/>
              </w:rPr>
            </w:pPr>
            <w:r>
              <w:rPr>
                <w:rFonts w:hint="eastAsia" w:ascii="仿宋" w:hAnsi="仿宋" w:eastAsia="仿宋" w:cs="仿宋"/>
                <w:sz w:val="24"/>
                <w:szCs w:val="24"/>
              </w:rPr>
              <w:t>5</w:t>
            </w:r>
          </w:p>
        </w:tc>
        <w:tc>
          <w:tcPr>
            <w:tcW w:w="4163" w:type="dxa"/>
            <w:vAlign w:val="top"/>
          </w:tcPr>
          <w:p w14:paraId="1B2FCE7D">
            <w:pPr>
              <w:pStyle w:val="23"/>
              <w:spacing w:before="57" w:line="239" w:lineRule="auto"/>
              <w:ind w:left="156"/>
              <w:rPr>
                <w:rFonts w:hint="eastAsia" w:ascii="仿宋" w:hAnsi="仿宋" w:eastAsia="仿宋" w:cs="仿宋"/>
                <w:sz w:val="24"/>
                <w:szCs w:val="24"/>
              </w:rPr>
            </w:pPr>
            <w:r>
              <w:rPr>
                <w:rFonts w:hint="eastAsia" w:ascii="仿宋" w:hAnsi="仿宋" w:eastAsia="仿宋" w:cs="仿宋"/>
                <w:spacing w:val="-8"/>
                <w:sz w:val="24"/>
                <w:szCs w:val="24"/>
              </w:rPr>
              <w:t>医学影像系统（PACS）</w:t>
            </w:r>
          </w:p>
        </w:tc>
        <w:tc>
          <w:tcPr>
            <w:tcW w:w="2820" w:type="dxa"/>
            <w:vAlign w:val="top"/>
          </w:tcPr>
          <w:p w14:paraId="0F417B73">
            <w:pPr>
              <w:pStyle w:val="23"/>
              <w:spacing w:before="131" w:line="192" w:lineRule="auto"/>
              <w:jc w:val="center"/>
              <w:rPr>
                <w:rFonts w:hint="eastAsia" w:ascii="仿宋" w:hAnsi="仿宋" w:eastAsia="仿宋" w:cs="仿宋"/>
                <w:color w:val="FF0000"/>
                <w:sz w:val="24"/>
                <w:szCs w:val="24"/>
              </w:rPr>
            </w:pPr>
          </w:p>
        </w:tc>
      </w:tr>
      <w:tr w14:paraId="6FD04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352" w:type="dxa"/>
            <w:vAlign w:val="top"/>
          </w:tcPr>
          <w:p w14:paraId="15FEE4C2">
            <w:pPr>
              <w:spacing w:before="125" w:line="180" w:lineRule="auto"/>
              <w:ind w:left="140"/>
              <w:rPr>
                <w:rFonts w:hint="eastAsia" w:ascii="仿宋" w:hAnsi="仿宋" w:eastAsia="仿宋" w:cs="仿宋"/>
                <w:sz w:val="24"/>
                <w:szCs w:val="24"/>
              </w:rPr>
            </w:pPr>
            <w:r>
              <w:rPr>
                <w:rFonts w:hint="eastAsia" w:ascii="仿宋" w:hAnsi="仿宋" w:eastAsia="仿宋" w:cs="仿宋"/>
                <w:b/>
                <w:bCs/>
                <w:spacing w:val="-4"/>
                <w:sz w:val="24"/>
                <w:szCs w:val="24"/>
              </w:rPr>
              <w:t>二</w:t>
            </w:r>
          </w:p>
        </w:tc>
        <w:tc>
          <w:tcPr>
            <w:tcW w:w="4163" w:type="dxa"/>
            <w:vAlign w:val="top"/>
          </w:tcPr>
          <w:p w14:paraId="137FC650">
            <w:pPr>
              <w:spacing w:before="56" w:line="239" w:lineRule="auto"/>
              <w:ind w:left="129"/>
              <w:rPr>
                <w:rFonts w:hint="eastAsia" w:ascii="仿宋" w:hAnsi="仿宋" w:eastAsia="仿宋" w:cs="仿宋"/>
                <w:sz w:val="24"/>
                <w:szCs w:val="24"/>
              </w:rPr>
            </w:pPr>
            <w:r>
              <w:rPr>
                <w:rFonts w:hint="eastAsia" w:ascii="仿宋" w:hAnsi="仿宋" w:eastAsia="仿宋" w:cs="仿宋"/>
                <w:b/>
                <w:bCs/>
                <w:spacing w:val="-10"/>
                <w:sz w:val="24"/>
                <w:szCs w:val="24"/>
              </w:rPr>
              <w:t>工程建设其他费用</w:t>
            </w:r>
          </w:p>
        </w:tc>
        <w:tc>
          <w:tcPr>
            <w:tcW w:w="2820" w:type="dxa"/>
            <w:vAlign w:val="top"/>
          </w:tcPr>
          <w:p w14:paraId="7777C61F">
            <w:pPr>
              <w:pStyle w:val="23"/>
              <w:spacing w:before="132" w:line="192" w:lineRule="auto"/>
              <w:jc w:val="center"/>
              <w:rPr>
                <w:rFonts w:hint="eastAsia" w:ascii="仿宋" w:hAnsi="仿宋" w:eastAsia="仿宋" w:cs="仿宋"/>
                <w:color w:val="FF0000"/>
                <w:sz w:val="24"/>
                <w:szCs w:val="24"/>
              </w:rPr>
            </w:pPr>
          </w:p>
        </w:tc>
      </w:tr>
      <w:tr w14:paraId="736EF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352" w:type="dxa"/>
            <w:vAlign w:val="top"/>
          </w:tcPr>
          <w:p w14:paraId="5B8B6E35">
            <w:pPr>
              <w:pStyle w:val="23"/>
              <w:spacing w:before="132" w:line="192" w:lineRule="auto"/>
              <w:ind w:left="146"/>
              <w:rPr>
                <w:rFonts w:hint="eastAsia" w:ascii="仿宋" w:hAnsi="仿宋" w:eastAsia="仿宋" w:cs="仿宋"/>
                <w:sz w:val="24"/>
                <w:szCs w:val="24"/>
              </w:rPr>
            </w:pPr>
            <w:r>
              <w:rPr>
                <w:rFonts w:hint="eastAsia" w:ascii="仿宋" w:hAnsi="仿宋" w:eastAsia="仿宋" w:cs="仿宋"/>
                <w:sz w:val="24"/>
                <w:szCs w:val="24"/>
              </w:rPr>
              <w:t>1</w:t>
            </w:r>
          </w:p>
        </w:tc>
        <w:tc>
          <w:tcPr>
            <w:tcW w:w="4163" w:type="dxa"/>
            <w:vAlign w:val="top"/>
          </w:tcPr>
          <w:p w14:paraId="2C3297E0">
            <w:pPr>
              <w:spacing w:before="59" w:line="238" w:lineRule="auto"/>
              <w:ind w:left="125"/>
              <w:rPr>
                <w:rFonts w:hint="eastAsia" w:ascii="仿宋" w:hAnsi="仿宋" w:eastAsia="仿宋" w:cs="仿宋"/>
                <w:sz w:val="24"/>
                <w:szCs w:val="24"/>
              </w:rPr>
            </w:pPr>
            <w:r>
              <w:rPr>
                <w:rFonts w:hint="eastAsia" w:ascii="仿宋" w:hAnsi="仿宋" w:eastAsia="仿宋" w:cs="仿宋"/>
                <w:spacing w:val="-7"/>
                <w:sz w:val="24"/>
                <w:szCs w:val="24"/>
              </w:rPr>
              <w:t>前期咨询费</w:t>
            </w:r>
          </w:p>
        </w:tc>
        <w:tc>
          <w:tcPr>
            <w:tcW w:w="2820" w:type="dxa"/>
            <w:vAlign w:val="top"/>
          </w:tcPr>
          <w:p w14:paraId="3EA525B8">
            <w:pPr>
              <w:pStyle w:val="23"/>
              <w:spacing w:before="132" w:line="192" w:lineRule="auto"/>
              <w:jc w:val="center"/>
              <w:rPr>
                <w:rFonts w:hint="eastAsia" w:ascii="仿宋" w:hAnsi="仿宋" w:eastAsia="仿宋" w:cs="仿宋"/>
                <w:color w:val="FF0000"/>
                <w:sz w:val="24"/>
                <w:szCs w:val="24"/>
              </w:rPr>
            </w:pPr>
          </w:p>
        </w:tc>
      </w:tr>
      <w:tr w14:paraId="11C69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52" w:type="dxa"/>
            <w:vAlign w:val="top"/>
          </w:tcPr>
          <w:p w14:paraId="64956550">
            <w:pPr>
              <w:pStyle w:val="23"/>
              <w:spacing w:before="133" w:line="192" w:lineRule="auto"/>
              <w:ind w:left="115"/>
              <w:rPr>
                <w:rFonts w:hint="eastAsia" w:ascii="仿宋" w:hAnsi="仿宋" w:eastAsia="仿宋" w:cs="仿宋"/>
                <w:sz w:val="24"/>
                <w:szCs w:val="24"/>
              </w:rPr>
            </w:pPr>
            <w:r>
              <w:rPr>
                <w:rFonts w:hint="eastAsia" w:ascii="仿宋" w:hAnsi="仿宋" w:eastAsia="仿宋" w:cs="仿宋"/>
                <w:sz w:val="24"/>
                <w:szCs w:val="24"/>
              </w:rPr>
              <w:t>2</w:t>
            </w:r>
          </w:p>
        </w:tc>
        <w:tc>
          <w:tcPr>
            <w:tcW w:w="4163" w:type="dxa"/>
            <w:vAlign w:val="top"/>
          </w:tcPr>
          <w:p w14:paraId="5A7EC172">
            <w:pPr>
              <w:spacing w:before="58"/>
              <w:ind w:left="125"/>
              <w:rPr>
                <w:rFonts w:hint="eastAsia" w:ascii="仿宋" w:hAnsi="仿宋" w:eastAsia="仿宋" w:cs="仿宋"/>
                <w:sz w:val="24"/>
                <w:szCs w:val="24"/>
              </w:rPr>
            </w:pPr>
            <w:r>
              <w:rPr>
                <w:rFonts w:hint="eastAsia" w:ascii="仿宋" w:hAnsi="仿宋" w:eastAsia="仿宋" w:cs="仿宋"/>
                <w:spacing w:val="-7"/>
                <w:sz w:val="24"/>
                <w:szCs w:val="24"/>
              </w:rPr>
              <w:t>监理费</w:t>
            </w:r>
          </w:p>
        </w:tc>
        <w:tc>
          <w:tcPr>
            <w:tcW w:w="2820" w:type="dxa"/>
            <w:vAlign w:val="top"/>
          </w:tcPr>
          <w:p w14:paraId="0A964347">
            <w:pPr>
              <w:pStyle w:val="23"/>
              <w:spacing w:before="133" w:line="192" w:lineRule="auto"/>
              <w:jc w:val="center"/>
              <w:rPr>
                <w:rFonts w:hint="eastAsia" w:ascii="仿宋" w:hAnsi="仿宋" w:eastAsia="仿宋" w:cs="仿宋"/>
                <w:color w:val="FF0000"/>
                <w:sz w:val="24"/>
                <w:szCs w:val="24"/>
              </w:rPr>
            </w:pPr>
          </w:p>
        </w:tc>
      </w:tr>
      <w:tr w14:paraId="4CD7F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52" w:type="dxa"/>
            <w:vAlign w:val="top"/>
          </w:tcPr>
          <w:p w14:paraId="7B39B69B">
            <w:pPr>
              <w:pStyle w:val="23"/>
              <w:spacing w:before="129" w:line="192" w:lineRule="auto"/>
              <w:ind w:left="121" w:leftChars="0"/>
              <w:rPr>
                <w:rFonts w:hint="eastAsia" w:ascii="仿宋" w:hAnsi="仿宋" w:eastAsia="仿宋" w:cs="仿宋"/>
                <w:sz w:val="24"/>
                <w:szCs w:val="24"/>
              </w:rPr>
            </w:pPr>
            <w:r>
              <w:rPr>
                <w:rFonts w:hint="eastAsia" w:ascii="仿宋" w:hAnsi="仿宋" w:eastAsia="仿宋" w:cs="仿宋"/>
                <w:sz w:val="24"/>
                <w:szCs w:val="24"/>
              </w:rPr>
              <w:t>3</w:t>
            </w:r>
          </w:p>
        </w:tc>
        <w:tc>
          <w:tcPr>
            <w:tcW w:w="4163" w:type="dxa"/>
            <w:vAlign w:val="top"/>
          </w:tcPr>
          <w:p w14:paraId="7B8016AB">
            <w:pPr>
              <w:spacing w:before="56" w:line="239" w:lineRule="auto"/>
              <w:ind w:left="134" w:leftChars="0"/>
              <w:rPr>
                <w:rFonts w:hint="eastAsia" w:ascii="仿宋" w:hAnsi="仿宋" w:eastAsia="仿宋" w:cs="仿宋"/>
                <w:spacing w:val="-7"/>
                <w:sz w:val="24"/>
                <w:szCs w:val="24"/>
              </w:rPr>
            </w:pPr>
            <w:r>
              <w:rPr>
                <w:rFonts w:hint="eastAsia" w:ascii="仿宋" w:hAnsi="仿宋" w:eastAsia="仿宋" w:cs="仿宋"/>
                <w:spacing w:val="-8"/>
                <w:sz w:val="24"/>
                <w:szCs w:val="24"/>
              </w:rPr>
              <w:t>第三方验收评测费</w:t>
            </w:r>
          </w:p>
        </w:tc>
        <w:tc>
          <w:tcPr>
            <w:tcW w:w="2820" w:type="dxa"/>
            <w:vAlign w:val="top"/>
          </w:tcPr>
          <w:p w14:paraId="1971B133">
            <w:pPr>
              <w:pStyle w:val="23"/>
              <w:spacing w:before="129" w:line="192" w:lineRule="auto"/>
              <w:jc w:val="center"/>
              <w:rPr>
                <w:rFonts w:hint="eastAsia" w:ascii="仿宋" w:hAnsi="仿宋" w:eastAsia="仿宋" w:cs="仿宋"/>
                <w:color w:val="FF0000"/>
                <w:spacing w:val="-2"/>
                <w:sz w:val="24"/>
                <w:szCs w:val="24"/>
              </w:rPr>
            </w:pPr>
          </w:p>
        </w:tc>
      </w:tr>
      <w:tr w14:paraId="79CF8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52" w:type="dxa"/>
            <w:vAlign w:val="top"/>
          </w:tcPr>
          <w:p w14:paraId="4C5C0EEE">
            <w:pPr>
              <w:pStyle w:val="23"/>
              <w:spacing w:before="129" w:line="192" w:lineRule="auto"/>
              <w:ind w:left="113" w:leftChars="0"/>
              <w:rPr>
                <w:rFonts w:hint="eastAsia" w:ascii="仿宋" w:hAnsi="仿宋" w:eastAsia="仿宋" w:cs="仿宋"/>
                <w:sz w:val="24"/>
                <w:szCs w:val="24"/>
              </w:rPr>
            </w:pPr>
            <w:r>
              <w:rPr>
                <w:rFonts w:hint="eastAsia" w:ascii="仿宋" w:hAnsi="仿宋" w:eastAsia="仿宋" w:cs="仿宋"/>
                <w:sz w:val="24"/>
                <w:szCs w:val="24"/>
              </w:rPr>
              <w:t>4</w:t>
            </w:r>
          </w:p>
        </w:tc>
        <w:tc>
          <w:tcPr>
            <w:tcW w:w="4163" w:type="dxa"/>
            <w:vAlign w:val="top"/>
          </w:tcPr>
          <w:p w14:paraId="56175031">
            <w:pPr>
              <w:spacing w:before="54"/>
              <w:ind w:left="123" w:leftChars="0"/>
              <w:rPr>
                <w:rFonts w:hint="eastAsia" w:ascii="仿宋" w:hAnsi="仿宋" w:eastAsia="仿宋" w:cs="仿宋"/>
                <w:spacing w:val="-7"/>
                <w:sz w:val="24"/>
                <w:szCs w:val="24"/>
              </w:rPr>
            </w:pPr>
            <w:r>
              <w:rPr>
                <w:rFonts w:hint="eastAsia" w:ascii="仿宋" w:hAnsi="仿宋" w:eastAsia="仿宋" w:cs="仿宋"/>
                <w:spacing w:val="-7"/>
                <w:sz w:val="24"/>
                <w:szCs w:val="24"/>
              </w:rPr>
              <w:t>信息系统安全等级保护测评费</w:t>
            </w:r>
          </w:p>
        </w:tc>
        <w:tc>
          <w:tcPr>
            <w:tcW w:w="2820" w:type="dxa"/>
            <w:vAlign w:val="top"/>
          </w:tcPr>
          <w:p w14:paraId="76CE5301">
            <w:pPr>
              <w:pStyle w:val="23"/>
              <w:spacing w:before="129" w:line="192" w:lineRule="auto"/>
              <w:jc w:val="center"/>
              <w:rPr>
                <w:rFonts w:hint="eastAsia" w:ascii="仿宋" w:hAnsi="仿宋" w:eastAsia="仿宋" w:cs="仿宋"/>
                <w:color w:val="FF0000"/>
                <w:spacing w:val="-2"/>
                <w:sz w:val="24"/>
                <w:szCs w:val="24"/>
              </w:rPr>
            </w:pPr>
          </w:p>
        </w:tc>
      </w:tr>
      <w:tr w14:paraId="5DFFB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52" w:type="dxa"/>
            <w:vAlign w:val="top"/>
          </w:tcPr>
          <w:p w14:paraId="312D70D0">
            <w:pPr>
              <w:pStyle w:val="23"/>
              <w:spacing w:before="136" w:line="189" w:lineRule="auto"/>
              <w:ind w:left="124" w:leftChars="0"/>
              <w:rPr>
                <w:rFonts w:hint="eastAsia" w:ascii="仿宋" w:hAnsi="仿宋" w:eastAsia="仿宋" w:cs="仿宋"/>
                <w:sz w:val="24"/>
                <w:szCs w:val="24"/>
              </w:rPr>
            </w:pPr>
            <w:r>
              <w:rPr>
                <w:rFonts w:hint="eastAsia" w:ascii="仿宋" w:hAnsi="仿宋" w:eastAsia="仿宋" w:cs="仿宋"/>
                <w:sz w:val="24"/>
                <w:szCs w:val="24"/>
              </w:rPr>
              <w:t>5</w:t>
            </w:r>
          </w:p>
        </w:tc>
        <w:tc>
          <w:tcPr>
            <w:tcW w:w="4163" w:type="dxa"/>
            <w:vAlign w:val="top"/>
          </w:tcPr>
          <w:p w14:paraId="46005D1F">
            <w:pPr>
              <w:spacing w:before="54"/>
              <w:ind w:left="156" w:leftChars="0"/>
              <w:rPr>
                <w:rFonts w:hint="eastAsia" w:ascii="仿宋" w:hAnsi="仿宋" w:eastAsia="仿宋" w:cs="仿宋"/>
                <w:spacing w:val="-7"/>
                <w:sz w:val="24"/>
                <w:szCs w:val="24"/>
              </w:rPr>
            </w:pPr>
            <w:r>
              <w:rPr>
                <w:rFonts w:hint="eastAsia" w:ascii="仿宋" w:hAnsi="仿宋" w:eastAsia="仿宋" w:cs="仿宋"/>
                <w:spacing w:val="-11"/>
                <w:sz w:val="24"/>
                <w:szCs w:val="24"/>
              </w:rPr>
              <w:t>国产密码评测费</w:t>
            </w:r>
          </w:p>
        </w:tc>
        <w:tc>
          <w:tcPr>
            <w:tcW w:w="2820" w:type="dxa"/>
            <w:vAlign w:val="top"/>
          </w:tcPr>
          <w:p w14:paraId="7C31DB0B">
            <w:pPr>
              <w:pStyle w:val="23"/>
              <w:spacing w:before="131" w:line="192" w:lineRule="auto"/>
              <w:jc w:val="center"/>
              <w:rPr>
                <w:rFonts w:hint="eastAsia" w:ascii="仿宋" w:hAnsi="仿宋" w:eastAsia="仿宋" w:cs="仿宋"/>
                <w:color w:val="FF0000"/>
                <w:spacing w:val="-2"/>
                <w:sz w:val="24"/>
                <w:szCs w:val="24"/>
              </w:rPr>
            </w:pPr>
          </w:p>
        </w:tc>
      </w:tr>
    </w:tbl>
    <w:p w14:paraId="5BBEC2A9">
      <w:pPr>
        <w:pStyle w:val="21"/>
        <w:ind w:firstLine="48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2.惠州市皮肤病防治研究所</w:t>
      </w:r>
    </w:p>
    <w:tbl>
      <w:tblPr>
        <w:tblStyle w:val="22"/>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9"/>
        <w:gridCol w:w="4249"/>
        <w:gridCol w:w="2830"/>
      </w:tblGrid>
      <w:tr w14:paraId="3173A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259" w:type="dxa"/>
            <w:vAlign w:val="top"/>
          </w:tcPr>
          <w:p w14:paraId="44A36721">
            <w:pPr>
              <w:spacing w:before="47" w:line="417" w:lineRule="exact"/>
              <w:jc w:val="center"/>
              <w:rPr>
                <w:rFonts w:hint="eastAsia" w:ascii="仿宋" w:hAnsi="仿宋" w:eastAsia="仿宋" w:cs="仿宋"/>
                <w:sz w:val="24"/>
                <w:szCs w:val="24"/>
              </w:rPr>
            </w:pPr>
            <w:r>
              <w:rPr>
                <w:rFonts w:hint="eastAsia" w:ascii="仿宋" w:hAnsi="仿宋" w:eastAsia="仿宋" w:cs="仿宋"/>
                <w:spacing w:val="5"/>
                <w:position w:val="1"/>
                <w:sz w:val="24"/>
                <w:szCs w:val="24"/>
              </w:rPr>
              <w:t>序号</w:t>
            </w:r>
          </w:p>
        </w:tc>
        <w:tc>
          <w:tcPr>
            <w:tcW w:w="4249" w:type="dxa"/>
            <w:vAlign w:val="top"/>
          </w:tcPr>
          <w:p w14:paraId="247572C7">
            <w:pPr>
              <w:spacing w:before="47" w:line="414" w:lineRule="exact"/>
              <w:jc w:val="center"/>
              <w:rPr>
                <w:rFonts w:hint="eastAsia" w:ascii="仿宋" w:hAnsi="仿宋" w:eastAsia="仿宋" w:cs="仿宋"/>
                <w:sz w:val="24"/>
                <w:szCs w:val="24"/>
              </w:rPr>
            </w:pPr>
            <w:r>
              <w:rPr>
                <w:rFonts w:hint="eastAsia" w:ascii="仿宋" w:hAnsi="仿宋" w:eastAsia="仿宋" w:cs="仿宋"/>
                <w:spacing w:val="6"/>
                <w:position w:val="1"/>
                <w:sz w:val="24"/>
                <w:szCs w:val="24"/>
              </w:rPr>
              <w:t>费用构成及名称</w:t>
            </w:r>
          </w:p>
        </w:tc>
        <w:tc>
          <w:tcPr>
            <w:tcW w:w="2830" w:type="dxa"/>
            <w:vAlign w:val="top"/>
          </w:tcPr>
          <w:p w14:paraId="1BEB7F7A">
            <w:pPr>
              <w:spacing w:before="47" w:line="414" w:lineRule="exact"/>
              <w:jc w:val="center"/>
              <w:rPr>
                <w:rFonts w:hint="eastAsia" w:ascii="仿宋" w:hAnsi="仿宋" w:eastAsia="仿宋" w:cs="仿宋"/>
                <w:sz w:val="24"/>
                <w:szCs w:val="24"/>
                <w:lang w:eastAsia="zh-CN"/>
              </w:rPr>
            </w:pPr>
            <w:r>
              <w:rPr>
                <w:rFonts w:hint="eastAsia" w:ascii="仿宋" w:hAnsi="仿宋" w:eastAsia="仿宋" w:cs="仿宋"/>
                <w:spacing w:val="-7"/>
                <w:position w:val="1"/>
                <w:sz w:val="24"/>
                <w:szCs w:val="24"/>
                <w:lang w:val="en-US" w:eastAsia="zh-CN"/>
              </w:rPr>
              <w:t>备</w:t>
            </w:r>
            <w:r>
              <w:rPr>
                <w:rFonts w:hint="eastAsia" w:ascii="仿宋" w:hAnsi="仿宋" w:eastAsia="仿宋" w:cs="仿宋"/>
                <w:spacing w:val="-60"/>
                <w:position w:val="1"/>
                <w:sz w:val="24"/>
                <w:szCs w:val="24"/>
                <w:lang w:val="en-US" w:eastAsia="zh-CN"/>
              </w:rPr>
              <w:t>注</w:t>
            </w:r>
            <w:r>
              <w:rPr>
                <w:rFonts w:hint="eastAsia" w:ascii="仿宋" w:hAnsi="仿宋" w:eastAsia="仿宋" w:cs="仿宋"/>
                <w:spacing w:val="-7"/>
                <w:position w:val="1"/>
                <w:sz w:val="24"/>
                <w:szCs w:val="24"/>
                <w:lang w:val="en-US" w:eastAsia="zh-CN"/>
              </w:rPr>
              <w:t xml:space="preserve"> </w:t>
            </w:r>
          </w:p>
        </w:tc>
      </w:tr>
      <w:tr w14:paraId="75115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259" w:type="dxa"/>
            <w:vAlign w:val="top"/>
          </w:tcPr>
          <w:p w14:paraId="1DCFDD6D">
            <w:pPr>
              <w:spacing w:before="200" w:line="237" w:lineRule="exact"/>
              <w:ind w:left="144"/>
              <w:rPr>
                <w:rFonts w:hint="eastAsia" w:ascii="仿宋" w:hAnsi="仿宋" w:eastAsia="仿宋" w:cs="仿宋"/>
                <w:sz w:val="24"/>
                <w:szCs w:val="24"/>
              </w:rPr>
            </w:pPr>
            <w:r>
              <w:rPr>
                <w:rFonts w:hint="eastAsia" w:ascii="仿宋" w:hAnsi="仿宋" w:eastAsia="仿宋" w:cs="仿宋"/>
                <w:b/>
                <w:bCs/>
                <w:spacing w:val="-4"/>
                <w:position w:val="-5"/>
                <w:sz w:val="24"/>
                <w:szCs w:val="24"/>
              </w:rPr>
              <w:t>一</w:t>
            </w:r>
          </w:p>
        </w:tc>
        <w:tc>
          <w:tcPr>
            <w:tcW w:w="4249" w:type="dxa"/>
            <w:vAlign w:val="top"/>
          </w:tcPr>
          <w:p w14:paraId="1DDE0024">
            <w:pPr>
              <w:spacing w:before="46" w:line="411" w:lineRule="exact"/>
              <w:ind w:left="130"/>
              <w:rPr>
                <w:rFonts w:hint="eastAsia" w:ascii="仿宋" w:hAnsi="仿宋" w:eastAsia="仿宋" w:cs="仿宋"/>
                <w:sz w:val="24"/>
                <w:szCs w:val="24"/>
              </w:rPr>
            </w:pPr>
            <w:r>
              <w:rPr>
                <w:rFonts w:hint="eastAsia" w:ascii="仿宋" w:hAnsi="仿宋" w:eastAsia="仿宋" w:cs="仿宋"/>
                <w:b/>
                <w:bCs/>
                <w:spacing w:val="3"/>
                <w:position w:val="1"/>
                <w:sz w:val="24"/>
                <w:szCs w:val="24"/>
              </w:rPr>
              <w:t>工程建设费用</w:t>
            </w:r>
          </w:p>
        </w:tc>
        <w:tc>
          <w:tcPr>
            <w:tcW w:w="2830" w:type="dxa"/>
            <w:vAlign w:val="top"/>
          </w:tcPr>
          <w:p w14:paraId="7B580657">
            <w:pPr>
              <w:pStyle w:val="23"/>
              <w:spacing w:before="119" w:line="192" w:lineRule="auto"/>
              <w:jc w:val="center"/>
              <w:rPr>
                <w:rFonts w:hint="eastAsia" w:ascii="仿宋" w:hAnsi="仿宋" w:eastAsia="仿宋" w:cs="仿宋"/>
                <w:color w:val="FF0000"/>
                <w:sz w:val="24"/>
                <w:szCs w:val="24"/>
              </w:rPr>
            </w:pPr>
          </w:p>
        </w:tc>
      </w:tr>
      <w:tr w14:paraId="277C5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259" w:type="dxa"/>
            <w:vAlign w:val="top"/>
          </w:tcPr>
          <w:p w14:paraId="753AF973">
            <w:pPr>
              <w:spacing w:before="45" w:line="412" w:lineRule="exact"/>
              <w:ind w:left="99"/>
              <w:rPr>
                <w:rFonts w:hint="eastAsia" w:ascii="仿宋" w:hAnsi="仿宋" w:eastAsia="仿宋" w:cs="仿宋"/>
                <w:sz w:val="24"/>
                <w:szCs w:val="24"/>
              </w:rPr>
            </w:pPr>
            <w:r>
              <w:rPr>
                <w:rFonts w:hint="eastAsia" w:ascii="仿宋" w:hAnsi="仿宋" w:eastAsia="仿宋" w:cs="仿宋"/>
                <w:spacing w:val="-3"/>
                <w:position w:val="1"/>
                <w:sz w:val="24"/>
                <w:szCs w:val="24"/>
              </w:rPr>
              <w:t>（</w:t>
            </w:r>
            <w:r>
              <w:rPr>
                <w:rFonts w:hint="eastAsia" w:ascii="仿宋" w:hAnsi="仿宋" w:eastAsia="仿宋" w:cs="仿宋"/>
                <w:spacing w:val="-75"/>
                <w:position w:val="1"/>
                <w:sz w:val="24"/>
                <w:szCs w:val="24"/>
              </w:rPr>
              <w:t xml:space="preserve"> </w:t>
            </w:r>
            <w:r>
              <w:rPr>
                <w:rFonts w:hint="eastAsia" w:ascii="仿宋" w:hAnsi="仿宋" w:eastAsia="仿宋" w:cs="仿宋"/>
                <w:spacing w:val="-3"/>
                <w:position w:val="1"/>
                <w:sz w:val="24"/>
                <w:szCs w:val="24"/>
              </w:rPr>
              <w:t>一）</w:t>
            </w:r>
          </w:p>
        </w:tc>
        <w:tc>
          <w:tcPr>
            <w:tcW w:w="4249" w:type="dxa"/>
            <w:vAlign w:val="top"/>
          </w:tcPr>
          <w:p w14:paraId="2F44C6CB">
            <w:pPr>
              <w:spacing w:before="45" w:line="412" w:lineRule="exact"/>
              <w:ind w:left="124"/>
              <w:rPr>
                <w:rFonts w:hint="eastAsia" w:ascii="仿宋" w:hAnsi="仿宋" w:eastAsia="仿宋" w:cs="仿宋"/>
                <w:sz w:val="24"/>
                <w:szCs w:val="24"/>
              </w:rPr>
            </w:pPr>
            <w:r>
              <w:rPr>
                <w:rFonts w:hint="eastAsia" w:ascii="仿宋" w:hAnsi="仿宋" w:eastAsia="仿宋" w:cs="仿宋"/>
                <w:spacing w:val="9"/>
                <w:position w:val="1"/>
                <w:sz w:val="24"/>
                <w:szCs w:val="24"/>
              </w:rPr>
              <w:t>基础设施（软硬件设备采购）</w:t>
            </w:r>
          </w:p>
        </w:tc>
        <w:tc>
          <w:tcPr>
            <w:tcW w:w="2830" w:type="dxa"/>
            <w:vAlign w:val="top"/>
          </w:tcPr>
          <w:p w14:paraId="442D4566">
            <w:pPr>
              <w:pStyle w:val="23"/>
              <w:spacing w:before="119" w:line="192" w:lineRule="auto"/>
              <w:jc w:val="center"/>
              <w:rPr>
                <w:rFonts w:hint="eastAsia" w:ascii="仿宋" w:hAnsi="仿宋" w:eastAsia="仿宋" w:cs="仿宋"/>
                <w:color w:val="FF0000"/>
                <w:sz w:val="24"/>
                <w:szCs w:val="24"/>
              </w:rPr>
            </w:pPr>
          </w:p>
        </w:tc>
      </w:tr>
      <w:tr w14:paraId="4B6D4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259" w:type="dxa"/>
            <w:vAlign w:val="top"/>
          </w:tcPr>
          <w:p w14:paraId="54707551">
            <w:pPr>
              <w:pStyle w:val="23"/>
              <w:spacing w:before="119" w:line="192" w:lineRule="auto"/>
              <w:ind w:left="145"/>
              <w:rPr>
                <w:rFonts w:hint="eastAsia" w:ascii="仿宋" w:hAnsi="仿宋" w:eastAsia="仿宋" w:cs="仿宋"/>
                <w:sz w:val="24"/>
                <w:szCs w:val="24"/>
              </w:rPr>
            </w:pPr>
            <w:r>
              <w:rPr>
                <w:rFonts w:hint="eastAsia" w:ascii="仿宋" w:hAnsi="仿宋" w:eastAsia="仿宋" w:cs="仿宋"/>
                <w:sz w:val="24"/>
                <w:szCs w:val="24"/>
              </w:rPr>
              <w:t>1</w:t>
            </w:r>
          </w:p>
        </w:tc>
        <w:tc>
          <w:tcPr>
            <w:tcW w:w="4249" w:type="dxa"/>
            <w:vAlign w:val="top"/>
          </w:tcPr>
          <w:p w14:paraId="20E1E527">
            <w:pPr>
              <w:spacing w:before="45" w:line="412" w:lineRule="exact"/>
              <w:ind w:left="130"/>
              <w:rPr>
                <w:rFonts w:hint="eastAsia" w:ascii="仿宋" w:hAnsi="仿宋" w:eastAsia="仿宋" w:cs="仿宋"/>
                <w:sz w:val="24"/>
                <w:szCs w:val="24"/>
              </w:rPr>
            </w:pPr>
            <w:r>
              <w:rPr>
                <w:rFonts w:hint="eastAsia" w:ascii="仿宋" w:hAnsi="仿宋" w:eastAsia="仿宋" w:cs="仿宋"/>
                <w:spacing w:val="5"/>
                <w:position w:val="1"/>
                <w:sz w:val="24"/>
                <w:szCs w:val="24"/>
              </w:rPr>
              <w:t>安全规划建设</w:t>
            </w:r>
          </w:p>
        </w:tc>
        <w:tc>
          <w:tcPr>
            <w:tcW w:w="2830" w:type="dxa"/>
            <w:vAlign w:val="top"/>
          </w:tcPr>
          <w:p w14:paraId="48B28537">
            <w:pPr>
              <w:pStyle w:val="23"/>
              <w:spacing w:before="119" w:line="192" w:lineRule="auto"/>
              <w:jc w:val="center"/>
              <w:rPr>
                <w:rFonts w:hint="eastAsia" w:ascii="仿宋" w:hAnsi="仿宋" w:eastAsia="仿宋" w:cs="仿宋"/>
                <w:color w:val="FF0000"/>
                <w:sz w:val="24"/>
                <w:szCs w:val="24"/>
              </w:rPr>
            </w:pPr>
          </w:p>
        </w:tc>
      </w:tr>
      <w:tr w14:paraId="67297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259" w:type="dxa"/>
            <w:vAlign w:val="top"/>
          </w:tcPr>
          <w:p w14:paraId="53960D94">
            <w:pPr>
              <w:pStyle w:val="23"/>
              <w:spacing w:before="121" w:line="192" w:lineRule="auto"/>
              <w:ind w:left="115"/>
              <w:rPr>
                <w:rFonts w:hint="eastAsia" w:ascii="仿宋" w:hAnsi="仿宋" w:eastAsia="仿宋" w:cs="仿宋"/>
                <w:sz w:val="24"/>
                <w:szCs w:val="24"/>
              </w:rPr>
            </w:pPr>
            <w:r>
              <w:rPr>
                <w:rFonts w:hint="eastAsia" w:ascii="仿宋" w:hAnsi="仿宋" w:eastAsia="仿宋" w:cs="仿宋"/>
                <w:sz w:val="24"/>
                <w:szCs w:val="24"/>
              </w:rPr>
              <w:t>2</w:t>
            </w:r>
          </w:p>
        </w:tc>
        <w:tc>
          <w:tcPr>
            <w:tcW w:w="4249" w:type="dxa"/>
            <w:vAlign w:val="top"/>
          </w:tcPr>
          <w:p w14:paraId="36870B58">
            <w:pPr>
              <w:pStyle w:val="23"/>
              <w:spacing w:before="47" w:line="410" w:lineRule="exact"/>
              <w:ind w:left="112"/>
              <w:rPr>
                <w:rFonts w:hint="eastAsia" w:ascii="仿宋" w:hAnsi="仿宋" w:eastAsia="仿宋" w:cs="仿宋"/>
                <w:sz w:val="24"/>
                <w:szCs w:val="24"/>
              </w:rPr>
            </w:pPr>
            <w:r>
              <w:rPr>
                <w:rFonts w:hint="eastAsia" w:ascii="仿宋" w:hAnsi="仿宋" w:eastAsia="仿宋" w:cs="仿宋"/>
                <w:sz w:val="24"/>
                <w:szCs w:val="24"/>
              </w:rPr>
              <w:t>IT</w:t>
            </w:r>
            <w:r>
              <w:rPr>
                <w:rFonts w:hint="eastAsia" w:ascii="仿宋" w:hAnsi="仿宋" w:eastAsia="仿宋" w:cs="仿宋"/>
                <w:spacing w:val="26"/>
                <w:sz w:val="24"/>
                <w:szCs w:val="24"/>
              </w:rPr>
              <w:t xml:space="preserve"> </w:t>
            </w:r>
            <w:r>
              <w:rPr>
                <w:rFonts w:hint="eastAsia" w:ascii="仿宋" w:hAnsi="仿宋" w:eastAsia="仿宋" w:cs="仿宋"/>
                <w:spacing w:val="6"/>
                <w:position w:val="1"/>
                <w:sz w:val="24"/>
                <w:szCs w:val="24"/>
              </w:rPr>
              <w:t>基础设施建设</w:t>
            </w:r>
          </w:p>
        </w:tc>
        <w:tc>
          <w:tcPr>
            <w:tcW w:w="2830" w:type="dxa"/>
            <w:vAlign w:val="top"/>
          </w:tcPr>
          <w:p w14:paraId="5B7C0734">
            <w:pPr>
              <w:pStyle w:val="23"/>
              <w:spacing w:before="121" w:line="192" w:lineRule="auto"/>
              <w:jc w:val="center"/>
              <w:rPr>
                <w:rFonts w:hint="eastAsia" w:ascii="仿宋" w:hAnsi="仿宋" w:eastAsia="仿宋" w:cs="仿宋"/>
                <w:color w:val="FF0000"/>
                <w:sz w:val="24"/>
                <w:szCs w:val="24"/>
              </w:rPr>
            </w:pPr>
          </w:p>
        </w:tc>
      </w:tr>
      <w:tr w14:paraId="79451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259" w:type="dxa"/>
            <w:vAlign w:val="top"/>
          </w:tcPr>
          <w:p w14:paraId="3C1F86E3">
            <w:pPr>
              <w:pStyle w:val="23"/>
              <w:spacing w:before="122" w:line="192" w:lineRule="auto"/>
              <w:ind w:left="121"/>
              <w:rPr>
                <w:rFonts w:hint="eastAsia" w:ascii="仿宋" w:hAnsi="仿宋" w:eastAsia="仿宋" w:cs="仿宋"/>
                <w:sz w:val="24"/>
                <w:szCs w:val="24"/>
              </w:rPr>
            </w:pPr>
            <w:r>
              <w:rPr>
                <w:rFonts w:hint="eastAsia" w:ascii="仿宋" w:hAnsi="仿宋" w:eastAsia="仿宋" w:cs="仿宋"/>
                <w:sz w:val="24"/>
                <w:szCs w:val="24"/>
              </w:rPr>
              <w:t>3</w:t>
            </w:r>
          </w:p>
        </w:tc>
        <w:tc>
          <w:tcPr>
            <w:tcW w:w="4249" w:type="dxa"/>
            <w:vAlign w:val="top"/>
          </w:tcPr>
          <w:p w14:paraId="6841FDE8">
            <w:pPr>
              <w:spacing w:before="48" w:line="409" w:lineRule="exact"/>
              <w:ind w:left="161"/>
              <w:rPr>
                <w:rFonts w:hint="eastAsia" w:ascii="仿宋" w:hAnsi="仿宋" w:eastAsia="仿宋" w:cs="仿宋"/>
                <w:sz w:val="24"/>
                <w:szCs w:val="24"/>
              </w:rPr>
            </w:pPr>
            <w:r>
              <w:rPr>
                <w:rFonts w:hint="eastAsia" w:ascii="仿宋" w:hAnsi="仿宋" w:eastAsia="仿宋" w:cs="仿宋"/>
                <w:spacing w:val="3"/>
                <w:position w:val="1"/>
                <w:sz w:val="24"/>
                <w:szCs w:val="24"/>
              </w:rPr>
              <w:t>网络基础及集成建设</w:t>
            </w:r>
          </w:p>
        </w:tc>
        <w:tc>
          <w:tcPr>
            <w:tcW w:w="2830" w:type="dxa"/>
            <w:vAlign w:val="top"/>
          </w:tcPr>
          <w:p w14:paraId="003C8245">
            <w:pPr>
              <w:pStyle w:val="23"/>
              <w:spacing w:before="122" w:line="192" w:lineRule="auto"/>
              <w:jc w:val="center"/>
              <w:rPr>
                <w:rFonts w:hint="eastAsia" w:ascii="仿宋" w:hAnsi="仿宋" w:eastAsia="仿宋" w:cs="仿宋"/>
                <w:color w:val="FF0000"/>
                <w:sz w:val="24"/>
                <w:szCs w:val="24"/>
              </w:rPr>
            </w:pPr>
          </w:p>
        </w:tc>
      </w:tr>
      <w:tr w14:paraId="533B5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259" w:type="dxa"/>
            <w:vAlign w:val="top"/>
          </w:tcPr>
          <w:p w14:paraId="786CF933">
            <w:pPr>
              <w:pStyle w:val="23"/>
              <w:spacing w:before="125" w:line="192" w:lineRule="auto"/>
              <w:ind w:left="113"/>
              <w:rPr>
                <w:rFonts w:hint="eastAsia" w:ascii="仿宋" w:hAnsi="仿宋" w:eastAsia="仿宋" w:cs="仿宋"/>
                <w:sz w:val="24"/>
                <w:szCs w:val="24"/>
              </w:rPr>
            </w:pPr>
            <w:r>
              <w:rPr>
                <w:rFonts w:hint="eastAsia" w:ascii="仿宋" w:hAnsi="仿宋" w:eastAsia="仿宋" w:cs="仿宋"/>
                <w:sz w:val="24"/>
                <w:szCs w:val="24"/>
              </w:rPr>
              <w:t>4</w:t>
            </w:r>
          </w:p>
        </w:tc>
        <w:tc>
          <w:tcPr>
            <w:tcW w:w="4249" w:type="dxa"/>
            <w:vAlign w:val="top"/>
          </w:tcPr>
          <w:p w14:paraId="1E4BFCB7">
            <w:pPr>
              <w:spacing w:before="51" w:line="242" w:lineRule="auto"/>
              <w:ind w:left="125"/>
              <w:rPr>
                <w:rFonts w:hint="eastAsia" w:ascii="仿宋" w:hAnsi="仿宋" w:eastAsia="仿宋" w:cs="仿宋"/>
                <w:sz w:val="24"/>
                <w:szCs w:val="24"/>
              </w:rPr>
            </w:pPr>
            <w:r>
              <w:rPr>
                <w:rFonts w:hint="eastAsia" w:ascii="仿宋" w:hAnsi="仿宋" w:eastAsia="仿宋" w:cs="仿宋"/>
                <w:spacing w:val="-2"/>
                <w:sz w:val="24"/>
                <w:szCs w:val="24"/>
              </w:rPr>
              <w:t>其他</w:t>
            </w:r>
          </w:p>
        </w:tc>
        <w:tc>
          <w:tcPr>
            <w:tcW w:w="2830" w:type="dxa"/>
            <w:vAlign w:val="top"/>
          </w:tcPr>
          <w:p w14:paraId="3C60A3FE">
            <w:pPr>
              <w:pStyle w:val="23"/>
              <w:spacing w:before="125" w:line="192" w:lineRule="auto"/>
              <w:jc w:val="center"/>
              <w:rPr>
                <w:rFonts w:hint="eastAsia" w:ascii="仿宋" w:hAnsi="仿宋" w:eastAsia="仿宋" w:cs="仿宋"/>
                <w:color w:val="FF0000"/>
                <w:sz w:val="24"/>
                <w:szCs w:val="24"/>
              </w:rPr>
            </w:pPr>
          </w:p>
        </w:tc>
      </w:tr>
      <w:tr w14:paraId="18B93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259" w:type="dxa"/>
            <w:vAlign w:val="top"/>
          </w:tcPr>
          <w:p w14:paraId="711C83A2">
            <w:pPr>
              <w:spacing w:before="120" w:line="180" w:lineRule="auto"/>
              <w:ind w:left="139"/>
              <w:rPr>
                <w:rFonts w:hint="eastAsia" w:ascii="仿宋" w:hAnsi="仿宋" w:eastAsia="仿宋" w:cs="仿宋"/>
                <w:sz w:val="24"/>
                <w:szCs w:val="24"/>
              </w:rPr>
            </w:pPr>
            <w:r>
              <w:rPr>
                <w:rFonts w:hint="eastAsia" w:ascii="仿宋" w:hAnsi="仿宋" w:eastAsia="仿宋" w:cs="仿宋"/>
                <w:b/>
                <w:bCs/>
                <w:spacing w:val="-4"/>
                <w:sz w:val="24"/>
                <w:szCs w:val="24"/>
              </w:rPr>
              <w:t>二</w:t>
            </w:r>
          </w:p>
        </w:tc>
        <w:tc>
          <w:tcPr>
            <w:tcW w:w="4249" w:type="dxa"/>
            <w:vAlign w:val="top"/>
          </w:tcPr>
          <w:p w14:paraId="09F878A0">
            <w:pPr>
              <w:spacing w:before="52" w:line="241" w:lineRule="auto"/>
              <w:ind w:left="130"/>
              <w:rPr>
                <w:rFonts w:hint="eastAsia" w:ascii="仿宋" w:hAnsi="仿宋" w:eastAsia="仿宋" w:cs="仿宋"/>
                <w:sz w:val="24"/>
                <w:szCs w:val="24"/>
              </w:rPr>
            </w:pPr>
            <w:r>
              <w:rPr>
                <w:rFonts w:hint="eastAsia" w:ascii="仿宋" w:hAnsi="仿宋" w:eastAsia="仿宋" w:cs="仿宋"/>
                <w:b/>
                <w:bCs/>
                <w:spacing w:val="4"/>
                <w:sz w:val="24"/>
                <w:szCs w:val="24"/>
              </w:rPr>
              <w:t>工程建设其他费用</w:t>
            </w:r>
          </w:p>
        </w:tc>
        <w:tc>
          <w:tcPr>
            <w:tcW w:w="2830" w:type="dxa"/>
            <w:vAlign w:val="top"/>
          </w:tcPr>
          <w:p w14:paraId="1F54782B">
            <w:pPr>
              <w:pStyle w:val="23"/>
              <w:spacing w:before="125" w:line="192" w:lineRule="auto"/>
              <w:jc w:val="center"/>
              <w:rPr>
                <w:rFonts w:hint="eastAsia" w:ascii="仿宋" w:hAnsi="仿宋" w:eastAsia="仿宋" w:cs="仿宋"/>
                <w:color w:val="FF0000"/>
                <w:sz w:val="24"/>
                <w:szCs w:val="24"/>
              </w:rPr>
            </w:pPr>
          </w:p>
        </w:tc>
      </w:tr>
      <w:tr w14:paraId="1A689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259" w:type="dxa"/>
            <w:vAlign w:val="top"/>
          </w:tcPr>
          <w:p w14:paraId="1041861E">
            <w:pPr>
              <w:pStyle w:val="23"/>
              <w:spacing w:before="128" w:line="192" w:lineRule="auto"/>
              <w:ind w:left="145"/>
              <w:rPr>
                <w:rFonts w:hint="eastAsia" w:ascii="仿宋" w:hAnsi="仿宋" w:eastAsia="仿宋" w:cs="仿宋"/>
                <w:sz w:val="24"/>
                <w:szCs w:val="24"/>
              </w:rPr>
            </w:pPr>
            <w:r>
              <w:rPr>
                <w:rFonts w:hint="eastAsia" w:ascii="仿宋" w:hAnsi="仿宋" w:eastAsia="仿宋" w:cs="仿宋"/>
                <w:sz w:val="24"/>
                <w:szCs w:val="24"/>
              </w:rPr>
              <w:t>1</w:t>
            </w:r>
          </w:p>
        </w:tc>
        <w:tc>
          <w:tcPr>
            <w:tcW w:w="4249" w:type="dxa"/>
            <w:vAlign w:val="top"/>
          </w:tcPr>
          <w:p w14:paraId="64795A1F">
            <w:pPr>
              <w:spacing w:before="52" w:line="241" w:lineRule="auto"/>
              <w:ind w:left="126"/>
              <w:rPr>
                <w:rFonts w:hint="eastAsia" w:ascii="仿宋" w:hAnsi="仿宋" w:eastAsia="仿宋" w:cs="仿宋"/>
                <w:sz w:val="24"/>
                <w:szCs w:val="24"/>
              </w:rPr>
            </w:pPr>
            <w:r>
              <w:rPr>
                <w:rFonts w:hint="eastAsia" w:ascii="仿宋" w:hAnsi="仿宋" w:eastAsia="仿宋" w:cs="仿宋"/>
                <w:spacing w:val="5"/>
                <w:sz w:val="24"/>
                <w:szCs w:val="24"/>
              </w:rPr>
              <w:t>前期咨询费</w:t>
            </w:r>
          </w:p>
        </w:tc>
        <w:tc>
          <w:tcPr>
            <w:tcW w:w="2830" w:type="dxa"/>
            <w:vAlign w:val="top"/>
          </w:tcPr>
          <w:p w14:paraId="47FE8C84">
            <w:pPr>
              <w:pStyle w:val="23"/>
              <w:spacing w:before="128" w:line="192" w:lineRule="auto"/>
              <w:jc w:val="center"/>
              <w:rPr>
                <w:rFonts w:hint="eastAsia" w:ascii="仿宋" w:hAnsi="仿宋" w:eastAsia="仿宋" w:cs="仿宋"/>
                <w:color w:val="FF0000"/>
                <w:sz w:val="24"/>
                <w:szCs w:val="24"/>
              </w:rPr>
            </w:pPr>
          </w:p>
        </w:tc>
      </w:tr>
      <w:tr w14:paraId="00F87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259" w:type="dxa"/>
            <w:vAlign w:val="top"/>
          </w:tcPr>
          <w:p w14:paraId="21E537BD">
            <w:pPr>
              <w:pStyle w:val="23"/>
              <w:spacing w:before="129" w:line="192" w:lineRule="auto"/>
              <w:ind w:left="115"/>
              <w:rPr>
                <w:rFonts w:hint="eastAsia" w:ascii="仿宋" w:hAnsi="仿宋" w:eastAsia="仿宋" w:cs="仿宋"/>
                <w:sz w:val="24"/>
                <w:szCs w:val="24"/>
              </w:rPr>
            </w:pPr>
            <w:r>
              <w:rPr>
                <w:rFonts w:hint="eastAsia" w:ascii="仿宋" w:hAnsi="仿宋" w:eastAsia="仿宋" w:cs="仿宋"/>
                <w:sz w:val="24"/>
                <w:szCs w:val="24"/>
              </w:rPr>
              <w:t>2</w:t>
            </w:r>
          </w:p>
        </w:tc>
        <w:tc>
          <w:tcPr>
            <w:tcW w:w="4249" w:type="dxa"/>
            <w:vAlign w:val="top"/>
          </w:tcPr>
          <w:p w14:paraId="22A4DD81">
            <w:pPr>
              <w:spacing w:before="54"/>
              <w:ind w:left="126"/>
              <w:rPr>
                <w:rFonts w:hint="eastAsia" w:ascii="仿宋" w:hAnsi="仿宋" w:eastAsia="仿宋" w:cs="仿宋"/>
                <w:sz w:val="24"/>
                <w:szCs w:val="24"/>
              </w:rPr>
            </w:pPr>
            <w:r>
              <w:rPr>
                <w:rFonts w:hint="eastAsia" w:ascii="仿宋" w:hAnsi="仿宋" w:eastAsia="仿宋" w:cs="仿宋"/>
                <w:spacing w:val="2"/>
                <w:sz w:val="24"/>
                <w:szCs w:val="24"/>
              </w:rPr>
              <w:t>监理费</w:t>
            </w:r>
          </w:p>
        </w:tc>
        <w:tc>
          <w:tcPr>
            <w:tcW w:w="2830" w:type="dxa"/>
            <w:vAlign w:val="top"/>
          </w:tcPr>
          <w:p w14:paraId="49DB1020">
            <w:pPr>
              <w:pStyle w:val="23"/>
              <w:spacing w:before="129" w:line="192" w:lineRule="auto"/>
              <w:jc w:val="center"/>
              <w:rPr>
                <w:rFonts w:hint="eastAsia" w:ascii="仿宋" w:hAnsi="仿宋" w:eastAsia="仿宋" w:cs="仿宋"/>
                <w:color w:val="FF0000"/>
                <w:sz w:val="24"/>
                <w:szCs w:val="24"/>
              </w:rPr>
            </w:pPr>
          </w:p>
        </w:tc>
      </w:tr>
    </w:tbl>
    <w:p w14:paraId="68DBEB2D">
      <w:pPr>
        <w:pStyle w:val="21"/>
        <w:ind w:firstLine="480"/>
        <w:rPr>
          <w:rFonts w:hint="default" w:ascii="仿宋" w:hAnsi="仿宋" w:eastAsia="仿宋" w:cs="仿宋"/>
          <w:kern w:val="2"/>
          <w:sz w:val="24"/>
          <w:szCs w:val="24"/>
          <w:lang w:val="en-US" w:eastAsia="zh-CN" w:bidi="ar-SA"/>
        </w:rPr>
      </w:pPr>
    </w:p>
    <w:p w14:paraId="2CC3C152">
      <w:pPr>
        <w:pStyle w:val="2"/>
        <w:numPr>
          <w:ilvl w:val="0"/>
          <w:numId w:val="3"/>
        </w:numPr>
        <w:rPr>
          <w:rFonts w:hint="eastAsia" w:ascii="仿宋" w:hAnsi="仿宋" w:eastAsia="仿宋" w:cs="仿宋"/>
          <w:sz w:val="28"/>
          <w:szCs w:val="28"/>
        </w:rPr>
      </w:pPr>
      <w:r>
        <w:rPr>
          <w:rFonts w:hint="eastAsia" w:ascii="仿宋" w:hAnsi="仿宋" w:eastAsia="仿宋" w:cs="仿宋"/>
          <w:sz w:val="28"/>
          <w:szCs w:val="28"/>
        </w:rPr>
        <w:t>设计服务要求</w:t>
      </w:r>
    </w:p>
    <w:p w14:paraId="694E29A7">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该项目</w:t>
      </w:r>
      <w:r>
        <w:rPr>
          <w:rFonts w:hint="eastAsia" w:ascii="仿宋" w:hAnsi="仿宋" w:eastAsia="仿宋" w:cs="仿宋"/>
          <w:sz w:val="24"/>
        </w:rPr>
        <w:t>涉及</w:t>
      </w:r>
      <w:r>
        <w:rPr>
          <w:rFonts w:hint="eastAsia" w:ascii="仿宋" w:hAnsi="仿宋" w:eastAsia="仿宋" w:cs="仿宋"/>
          <w:sz w:val="24"/>
          <w:lang w:val="en-US" w:eastAsia="zh-CN"/>
        </w:rPr>
        <w:t>惠州市职业病防治院和惠州市皮肤病防治研究所</w:t>
      </w:r>
      <w:r>
        <w:rPr>
          <w:rFonts w:hint="eastAsia" w:ascii="仿宋" w:hAnsi="仿宋" w:eastAsia="仿宋" w:cs="仿宋"/>
          <w:sz w:val="24"/>
        </w:rPr>
        <w:t>的信息化系统联动改造、建设内容复杂，拟选定一家具有丰富行业经验的设计服务单位，参与</w:t>
      </w:r>
      <w:r>
        <w:rPr>
          <w:rFonts w:hint="eastAsia" w:ascii="仿宋" w:hAnsi="仿宋" w:eastAsia="仿宋" w:cs="仿宋"/>
          <w:sz w:val="24"/>
          <w:lang w:val="en-US" w:eastAsia="zh-CN"/>
        </w:rPr>
        <w:t>信息化建设</w:t>
      </w:r>
      <w:r>
        <w:rPr>
          <w:rFonts w:hint="eastAsia" w:ascii="仿宋" w:hAnsi="仿宋" w:eastAsia="仿宋" w:cs="仿宋"/>
          <w:sz w:val="24"/>
        </w:rPr>
        <w:t>调研工作，按照相关标准规范完成项目设计服务工作，保障项目建设工作规范、有序地进行。</w:t>
      </w:r>
    </w:p>
    <w:p w14:paraId="28FF39B1">
      <w:pPr>
        <w:pStyle w:val="3"/>
        <w:numPr>
          <w:ilvl w:val="0"/>
          <w:numId w:val="5"/>
        </w:numPr>
        <w:tabs>
          <w:tab w:val="left" w:pos="709"/>
        </w:tabs>
        <w:rPr>
          <w:rFonts w:hint="eastAsia" w:ascii="仿宋" w:hAnsi="仿宋" w:eastAsia="仿宋" w:cs="仿宋"/>
          <w:sz w:val="24"/>
          <w:szCs w:val="24"/>
        </w:rPr>
      </w:pPr>
      <w:r>
        <w:rPr>
          <w:rFonts w:hint="eastAsia" w:ascii="仿宋" w:hAnsi="仿宋" w:eastAsia="仿宋" w:cs="仿宋"/>
          <w:sz w:val="24"/>
          <w:szCs w:val="24"/>
        </w:rPr>
        <w:t>服务总体要求</w:t>
      </w:r>
    </w:p>
    <w:p w14:paraId="2A46B878">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（1）设计单位应充分</w:t>
      </w:r>
      <w:r>
        <w:rPr>
          <w:rFonts w:hint="eastAsia" w:ascii="仿宋" w:hAnsi="仿宋" w:eastAsia="仿宋" w:cs="仿宋"/>
          <w:sz w:val="24"/>
          <w:lang w:eastAsia="zh-CN"/>
        </w:rPr>
        <w:t>调研并</w:t>
      </w:r>
      <w:r>
        <w:rPr>
          <w:rFonts w:hint="eastAsia" w:ascii="仿宋" w:hAnsi="仿宋" w:eastAsia="仿宋" w:cs="仿宋"/>
          <w:sz w:val="24"/>
        </w:rPr>
        <w:t>了解医院信息化建设现状，设计单位编制的方案以及招标需求必须符合现场实际环境；</w:t>
      </w:r>
    </w:p>
    <w:p w14:paraId="4A0AA603">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（2）设计单位提交的成果应包括医院现状系统建设情况、建设需求、系统架构、系统功能、系统接口</w:t>
      </w:r>
      <w:r>
        <w:rPr>
          <w:rFonts w:hint="eastAsia" w:ascii="仿宋" w:hAnsi="仿宋" w:eastAsia="仿宋" w:cs="仿宋"/>
          <w:sz w:val="24"/>
          <w:lang w:eastAsia="zh-CN"/>
        </w:rPr>
        <w:t>、</w:t>
      </w:r>
      <w:r>
        <w:rPr>
          <w:rFonts w:hint="eastAsia" w:ascii="仿宋" w:hAnsi="仿宋" w:eastAsia="仿宋" w:cs="仿宋"/>
          <w:sz w:val="24"/>
        </w:rPr>
        <w:t>项目建设标准定额概算清单</w:t>
      </w:r>
      <w:r>
        <w:rPr>
          <w:rFonts w:hint="eastAsia" w:ascii="仿宋" w:hAnsi="仿宋" w:eastAsia="仿宋" w:cs="仿宋"/>
          <w:sz w:val="24"/>
          <w:lang w:val="en-US" w:eastAsia="zh-CN"/>
        </w:rPr>
        <w:t>以及密码应用方案</w:t>
      </w:r>
      <w:r>
        <w:rPr>
          <w:rFonts w:hint="eastAsia" w:ascii="仿宋" w:hAnsi="仿宋" w:eastAsia="仿宋" w:cs="仿宋"/>
          <w:sz w:val="24"/>
        </w:rPr>
        <w:t>；</w:t>
      </w:r>
    </w:p>
    <w:p w14:paraId="3A1AAE65">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（3）设计单位除参与实施前的设计外，当承建方在实施过程中涉及对设计单位原建设方案进行改动时，设计单位应对变更内容进行确认；</w:t>
      </w:r>
    </w:p>
    <w:p w14:paraId="2E79EF8D">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（4）设计单位在设计时需充分考虑医院现有设备、线路能否重复利用，设计时尽量减少浪费；</w:t>
      </w:r>
    </w:p>
    <w:p w14:paraId="287263D3">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（5）本项目建设原则上遵循省市数字政府的整体规划，所设计的内容与省、市以及规划内容不冲突；</w:t>
      </w:r>
    </w:p>
    <w:p w14:paraId="7849F8E1">
      <w:pPr>
        <w:tabs>
          <w:tab w:val="left" w:pos="1410"/>
        </w:tabs>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（6）要求设计单位在采购人提出的建设思路基础上，以科学态度、开放理念、适当超前思维和战略眼光，提升项目的设计水平；</w:t>
      </w:r>
    </w:p>
    <w:p w14:paraId="07F7486C">
      <w:pPr>
        <w:tabs>
          <w:tab w:val="left" w:pos="1410"/>
        </w:tabs>
        <w:autoSpaceDE w:val="0"/>
        <w:autoSpaceDN w:val="0"/>
        <w:adjustRightInd w:val="0"/>
        <w:spacing w:line="360" w:lineRule="auto"/>
        <w:ind w:firstLine="480" w:firstLineChars="200"/>
        <w:rPr>
          <w:rFonts w:hint="eastAsia" w:ascii="仿宋" w:hAnsi="仿宋" w:eastAsia="仿宋" w:cs="宋体"/>
          <w:bCs/>
          <w:sz w:val="24"/>
        </w:rPr>
      </w:pPr>
      <w:r>
        <w:rPr>
          <w:rFonts w:hint="eastAsia" w:ascii="仿宋" w:hAnsi="仿宋" w:eastAsia="仿宋" w:cs="仿宋"/>
          <w:sz w:val="24"/>
        </w:rPr>
        <w:t>（7）要求设计单位在项目建设内容要求的基础上,从顶层整体设计的高度出发，充分体现各模块间的有机整合，统一规划，充分利用资源，避免重复建设，并提出明确的合理化建议方案。</w:t>
      </w:r>
    </w:p>
    <w:p w14:paraId="3BDF2787">
      <w:pPr>
        <w:pStyle w:val="3"/>
        <w:numPr>
          <w:ilvl w:val="0"/>
          <w:numId w:val="5"/>
        </w:numPr>
        <w:tabs>
          <w:tab w:val="left" w:pos="709"/>
        </w:tabs>
        <w:rPr>
          <w:rFonts w:hint="eastAsia" w:ascii="仿宋" w:hAnsi="仿宋" w:eastAsia="仿宋" w:cs="仿宋"/>
          <w:sz w:val="24"/>
          <w:szCs w:val="24"/>
        </w:rPr>
      </w:pPr>
      <w:r>
        <w:rPr>
          <w:rFonts w:hint="eastAsia" w:ascii="仿宋" w:hAnsi="仿宋" w:eastAsia="仿宋" w:cs="仿宋"/>
          <w:sz w:val="24"/>
          <w:szCs w:val="24"/>
        </w:rPr>
        <w:t>服务范围</w:t>
      </w:r>
    </w:p>
    <w:p w14:paraId="1B8EB4E4">
      <w:pPr>
        <w:tabs>
          <w:tab w:val="left" w:pos="2880"/>
        </w:tabs>
        <w:spacing w:line="360" w:lineRule="auto"/>
        <w:ind w:firstLine="480" w:firstLineChars="200"/>
        <w:jc w:val="left"/>
        <w:rPr>
          <w:rFonts w:hint="eastAsia" w:ascii="仿宋" w:hAnsi="仿宋" w:eastAsia="仿宋" w:cs="宋体"/>
          <w:bCs/>
          <w:sz w:val="24"/>
        </w:rPr>
      </w:pPr>
      <w:r>
        <w:rPr>
          <w:rFonts w:hint="eastAsia" w:ascii="仿宋" w:hAnsi="仿宋" w:eastAsia="仿宋" w:cs="仿宋"/>
          <w:sz w:val="24"/>
        </w:rPr>
        <w:t>本项目主要服务范围包括</w:t>
      </w:r>
      <w:r>
        <w:rPr>
          <w:rFonts w:hint="eastAsia" w:ascii="仿宋" w:hAnsi="仿宋" w:eastAsia="仿宋" w:cs="仿宋"/>
          <w:kern w:val="0"/>
          <w:sz w:val="24"/>
        </w:rPr>
        <w:t>惠州市省级区域职业病防治中心（市职防院、市皮肤病医院）</w:t>
      </w:r>
      <w:r>
        <w:rPr>
          <w:rFonts w:hint="eastAsia" w:ascii="仿宋" w:hAnsi="仿宋" w:eastAsia="仿宋" w:cs="仿宋"/>
          <w:kern w:val="0"/>
          <w:sz w:val="24"/>
          <w:lang w:val="en-US" w:eastAsia="zh-CN"/>
        </w:rPr>
        <w:t>信息化</w:t>
      </w:r>
      <w:r>
        <w:rPr>
          <w:rFonts w:hint="eastAsia" w:ascii="仿宋" w:hAnsi="仿宋" w:eastAsia="仿宋" w:cs="仿宋"/>
          <w:kern w:val="0"/>
          <w:sz w:val="24"/>
        </w:rPr>
        <w:t>设计服务项目</w:t>
      </w:r>
      <w:r>
        <w:rPr>
          <w:rFonts w:hint="eastAsia" w:ascii="仿宋" w:hAnsi="仿宋" w:eastAsia="仿宋" w:cs="仿宋"/>
          <w:sz w:val="24"/>
        </w:rPr>
        <w:t>的立项、论证、招标、实施跟踪等全过程设计服务。</w:t>
      </w:r>
    </w:p>
    <w:p w14:paraId="322DE500">
      <w:pPr>
        <w:pStyle w:val="3"/>
        <w:numPr>
          <w:ilvl w:val="0"/>
          <w:numId w:val="5"/>
        </w:numPr>
        <w:tabs>
          <w:tab w:val="left" w:pos="709"/>
        </w:tabs>
        <w:rPr>
          <w:rFonts w:hint="eastAsia" w:ascii="仿宋" w:hAnsi="仿宋" w:eastAsia="仿宋" w:cs="仿宋"/>
          <w:sz w:val="24"/>
          <w:szCs w:val="24"/>
        </w:rPr>
      </w:pPr>
      <w:r>
        <w:rPr>
          <w:rFonts w:hint="eastAsia" w:ascii="仿宋" w:hAnsi="仿宋" w:eastAsia="仿宋" w:cs="仿宋"/>
          <w:sz w:val="24"/>
          <w:szCs w:val="24"/>
        </w:rPr>
        <w:t>工作内容</w:t>
      </w:r>
    </w:p>
    <w:p w14:paraId="22BA45A2">
      <w:pPr>
        <w:tabs>
          <w:tab w:val="left" w:pos="2880"/>
        </w:tabs>
        <w:spacing w:line="360" w:lineRule="auto"/>
        <w:ind w:firstLine="480" w:firstLineChars="200"/>
        <w:jc w:val="left"/>
        <w:rPr>
          <w:rFonts w:hint="eastAsia" w:ascii="仿宋" w:hAnsi="仿宋" w:eastAsia="仿宋" w:cs="宋体"/>
          <w:bCs/>
          <w:sz w:val="24"/>
        </w:rPr>
      </w:pPr>
      <w:r>
        <w:rPr>
          <w:rFonts w:hint="eastAsia" w:ascii="仿宋" w:hAnsi="仿宋" w:eastAsia="仿宋" w:cs="宋体"/>
          <w:bCs/>
          <w:sz w:val="24"/>
        </w:rPr>
        <w:t>（1）项目调研：根据采购人要求，完成</w:t>
      </w:r>
      <w:r>
        <w:rPr>
          <w:rFonts w:hint="eastAsia" w:ascii="仿宋" w:hAnsi="仿宋" w:eastAsia="仿宋" w:cs="仿宋"/>
          <w:kern w:val="0"/>
          <w:sz w:val="24"/>
        </w:rPr>
        <w:t>惠州市省级区域职业病防治中心（市职防院、市皮肤病医院）</w:t>
      </w:r>
      <w:r>
        <w:rPr>
          <w:rFonts w:hint="eastAsia" w:ascii="仿宋" w:hAnsi="仿宋" w:eastAsia="仿宋" w:cs="仿宋"/>
          <w:kern w:val="0"/>
          <w:sz w:val="24"/>
          <w:lang w:val="en-US" w:eastAsia="zh-CN"/>
        </w:rPr>
        <w:t>信息化</w:t>
      </w:r>
      <w:r>
        <w:rPr>
          <w:rFonts w:hint="eastAsia" w:ascii="仿宋" w:hAnsi="仿宋" w:eastAsia="仿宋" w:cs="仿宋"/>
          <w:kern w:val="0"/>
          <w:sz w:val="24"/>
        </w:rPr>
        <w:t>设计服务项目</w:t>
      </w:r>
      <w:r>
        <w:rPr>
          <w:rFonts w:hint="eastAsia" w:ascii="仿宋" w:hAnsi="仿宋" w:eastAsia="仿宋" w:cs="宋体"/>
          <w:bCs/>
          <w:sz w:val="24"/>
        </w:rPr>
        <w:t>考察调研和需求分析工作，通过调研深入分析和总结出项目需求分析报告。</w:t>
      </w:r>
    </w:p>
    <w:p w14:paraId="1C334ACA">
      <w:pPr>
        <w:tabs>
          <w:tab w:val="left" w:pos="2880"/>
        </w:tabs>
        <w:spacing w:line="360" w:lineRule="auto"/>
        <w:ind w:firstLine="480" w:firstLineChars="200"/>
        <w:jc w:val="left"/>
        <w:rPr>
          <w:rFonts w:hint="eastAsia" w:ascii="仿宋" w:hAnsi="仿宋" w:eastAsia="仿宋" w:cs="宋体"/>
          <w:bCs/>
          <w:sz w:val="24"/>
        </w:rPr>
      </w:pPr>
      <w:r>
        <w:rPr>
          <w:rFonts w:hint="eastAsia" w:ascii="仿宋" w:hAnsi="仿宋" w:eastAsia="仿宋" w:cs="宋体"/>
          <w:bCs/>
          <w:sz w:val="24"/>
        </w:rPr>
        <w:t>（2）业务梳理：根据全国各级卫生健康部门和信息化主管部门相关规范文件要求，对</w:t>
      </w:r>
      <w:r>
        <w:rPr>
          <w:rFonts w:hint="eastAsia" w:ascii="仿宋" w:hAnsi="仿宋" w:eastAsia="仿宋" w:cs="宋体"/>
          <w:bCs/>
          <w:sz w:val="24"/>
          <w:lang w:val="en-US" w:eastAsia="zh-CN"/>
        </w:rPr>
        <w:t>医院</w:t>
      </w:r>
      <w:r>
        <w:rPr>
          <w:rFonts w:hint="eastAsia" w:ascii="仿宋" w:hAnsi="仿宋" w:eastAsia="仿宋" w:cs="宋体"/>
          <w:bCs/>
          <w:sz w:val="24"/>
        </w:rPr>
        <w:t>的业务职能进行深入、全面分析，并用规范语言、规范结构来客观、真实地描述，为医院</w:t>
      </w:r>
      <w:r>
        <w:rPr>
          <w:rFonts w:hint="eastAsia" w:ascii="仿宋" w:hAnsi="仿宋" w:eastAsia="仿宋" w:cs="宋体"/>
          <w:bCs/>
          <w:sz w:val="24"/>
          <w:lang w:val="en-US" w:eastAsia="zh-CN"/>
        </w:rPr>
        <w:t>信息化</w:t>
      </w:r>
      <w:r>
        <w:rPr>
          <w:rFonts w:hint="eastAsia" w:ascii="仿宋" w:hAnsi="仿宋" w:eastAsia="仿宋" w:cs="宋体"/>
          <w:bCs/>
          <w:sz w:val="24"/>
        </w:rPr>
        <w:t>建设提供基础性材料。</w:t>
      </w:r>
    </w:p>
    <w:p w14:paraId="07C9D9F4">
      <w:pPr>
        <w:tabs>
          <w:tab w:val="left" w:pos="2880"/>
        </w:tabs>
        <w:spacing w:line="360" w:lineRule="auto"/>
        <w:ind w:firstLine="480" w:firstLineChars="200"/>
        <w:jc w:val="left"/>
        <w:rPr>
          <w:rFonts w:hint="eastAsia" w:ascii="仿宋" w:hAnsi="仿宋" w:eastAsia="仿宋" w:cs="宋体"/>
          <w:bCs/>
          <w:sz w:val="24"/>
        </w:rPr>
      </w:pPr>
      <w:r>
        <w:rPr>
          <w:rFonts w:hint="eastAsia" w:ascii="仿宋" w:hAnsi="仿宋" w:eastAsia="仿宋" w:cs="宋体"/>
          <w:bCs/>
          <w:sz w:val="24"/>
        </w:rPr>
        <w:t>（3）总体设计：为</w:t>
      </w:r>
      <w:r>
        <w:rPr>
          <w:rFonts w:hint="eastAsia" w:ascii="仿宋" w:hAnsi="仿宋" w:eastAsia="仿宋" w:cs="仿宋"/>
          <w:kern w:val="0"/>
          <w:sz w:val="24"/>
        </w:rPr>
        <w:t>惠州市省级区域职业病防治中心（市职防院、市皮肤病医院）</w:t>
      </w:r>
      <w:r>
        <w:rPr>
          <w:rFonts w:hint="eastAsia" w:ascii="仿宋" w:hAnsi="仿宋" w:eastAsia="仿宋" w:cs="仿宋"/>
          <w:kern w:val="0"/>
          <w:sz w:val="24"/>
          <w:lang w:val="en-US" w:eastAsia="zh-CN"/>
        </w:rPr>
        <w:t>信息化</w:t>
      </w:r>
      <w:r>
        <w:rPr>
          <w:rFonts w:hint="eastAsia" w:ascii="仿宋" w:hAnsi="仿宋" w:eastAsia="仿宋" w:cs="仿宋"/>
          <w:kern w:val="0"/>
          <w:sz w:val="24"/>
        </w:rPr>
        <w:t>设计服务项目</w:t>
      </w:r>
      <w:r>
        <w:rPr>
          <w:rFonts w:hint="eastAsia" w:ascii="仿宋" w:hAnsi="仿宋" w:eastAsia="仿宋" w:cs="宋体"/>
          <w:bCs/>
          <w:sz w:val="24"/>
        </w:rPr>
        <w:t>提供设计咨询服务工作，从基础架构、网络架构、数据架构、应用架构</w:t>
      </w:r>
      <w:r>
        <w:rPr>
          <w:rFonts w:hint="eastAsia" w:ascii="仿宋" w:hAnsi="仿宋" w:eastAsia="仿宋" w:cs="宋体"/>
          <w:bCs/>
          <w:sz w:val="24"/>
          <w:lang w:eastAsia="zh-CN"/>
        </w:rPr>
        <w:t>、</w:t>
      </w:r>
      <w:r>
        <w:rPr>
          <w:rFonts w:hint="eastAsia" w:ascii="仿宋" w:hAnsi="仿宋" w:eastAsia="仿宋" w:cs="宋体"/>
          <w:bCs/>
          <w:sz w:val="24"/>
        </w:rPr>
        <w:t>安全架构</w:t>
      </w:r>
      <w:r>
        <w:rPr>
          <w:rFonts w:hint="eastAsia" w:ascii="仿宋" w:hAnsi="仿宋" w:eastAsia="仿宋" w:cs="宋体"/>
          <w:bCs/>
          <w:sz w:val="24"/>
          <w:lang w:eastAsia="zh-CN"/>
        </w:rPr>
        <w:t>、</w:t>
      </w:r>
      <w:r>
        <w:rPr>
          <w:rFonts w:hint="eastAsia" w:ascii="仿宋" w:hAnsi="仿宋" w:eastAsia="仿宋" w:cs="宋体"/>
          <w:bCs/>
          <w:sz w:val="24"/>
          <w:lang w:val="en-US" w:eastAsia="zh-CN"/>
        </w:rPr>
        <w:t>密码应用</w:t>
      </w:r>
      <w:r>
        <w:rPr>
          <w:rFonts w:hint="eastAsia" w:ascii="仿宋" w:hAnsi="仿宋" w:eastAsia="仿宋" w:cs="宋体"/>
          <w:bCs/>
          <w:sz w:val="24"/>
        </w:rPr>
        <w:t>等内容提出实用、先进、完整的设计方案。</w:t>
      </w:r>
    </w:p>
    <w:p w14:paraId="1F128B79">
      <w:pPr>
        <w:tabs>
          <w:tab w:val="left" w:pos="2880"/>
        </w:tabs>
        <w:spacing w:line="360" w:lineRule="auto"/>
        <w:ind w:firstLine="480" w:firstLineChars="200"/>
        <w:jc w:val="left"/>
        <w:rPr>
          <w:rFonts w:hint="eastAsia" w:ascii="仿宋" w:hAnsi="仿宋" w:eastAsia="仿宋" w:cs="宋体"/>
          <w:bCs/>
          <w:sz w:val="24"/>
        </w:rPr>
      </w:pPr>
      <w:r>
        <w:rPr>
          <w:rFonts w:hint="eastAsia" w:ascii="仿宋" w:hAnsi="仿宋" w:eastAsia="仿宋" w:cs="宋体"/>
          <w:bCs/>
          <w:sz w:val="24"/>
        </w:rPr>
        <w:t>（4）</w:t>
      </w:r>
      <w:r>
        <w:rPr>
          <w:rFonts w:hint="eastAsia" w:ascii="仿宋" w:hAnsi="仿宋" w:eastAsia="仿宋" w:cs="宋体"/>
          <w:bCs/>
          <w:sz w:val="24"/>
          <w:lang w:eastAsia="zh-CN"/>
        </w:rPr>
        <w:t>协助采购人</w:t>
      </w:r>
      <w:r>
        <w:rPr>
          <w:rFonts w:hint="eastAsia" w:ascii="仿宋" w:hAnsi="仿宋" w:eastAsia="仿宋" w:cs="宋体"/>
          <w:bCs/>
          <w:sz w:val="24"/>
        </w:rPr>
        <w:t>编制招标需求说明书：根据各项目的具体技术方案，编写该项目的招标需求说明书（包括项目各个系统功能需求、项目设备技术指标要求、项目采购清单、项目建设期的管理需求、项目运维服务及培训需求等）；协助采购人进行工程项目招标，并监督实施项目的系统集成商单位进行项目建设。</w:t>
      </w:r>
    </w:p>
    <w:p w14:paraId="7FFD3199">
      <w:pPr>
        <w:tabs>
          <w:tab w:val="left" w:pos="2880"/>
        </w:tabs>
        <w:spacing w:line="360" w:lineRule="auto"/>
        <w:ind w:firstLine="480" w:firstLineChars="200"/>
        <w:jc w:val="left"/>
        <w:rPr>
          <w:rFonts w:hint="eastAsia" w:ascii="仿宋" w:hAnsi="仿宋" w:eastAsia="仿宋" w:cs="宋体"/>
          <w:bCs/>
          <w:sz w:val="24"/>
        </w:rPr>
      </w:pPr>
      <w:r>
        <w:rPr>
          <w:rFonts w:hint="eastAsia" w:ascii="仿宋" w:hAnsi="仿宋" w:eastAsia="仿宋" w:cs="宋体"/>
          <w:bCs/>
          <w:sz w:val="24"/>
        </w:rPr>
        <w:t>（5）项目阶段技术产物评审：在项目建设过程中，需协助采购人从技术角度对承建单位提交的项目过程文档进行</w:t>
      </w:r>
      <w:bookmarkStart w:id="10" w:name="OLE_LINK1"/>
      <w:r>
        <w:rPr>
          <w:rFonts w:hint="eastAsia" w:ascii="仿宋" w:hAnsi="仿宋" w:eastAsia="仿宋" w:cs="宋体"/>
          <w:bCs/>
          <w:sz w:val="24"/>
          <w:lang w:eastAsia="zh-CN"/>
        </w:rPr>
        <w:t>咨询建议</w:t>
      </w:r>
      <w:bookmarkEnd w:id="10"/>
      <w:r>
        <w:rPr>
          <w:rFonts w:hint="eastAsia" w:ascii="仿宋" w:hAnsi="仿宋" w:eastAsia="仿宋" w:cs="宋体"/>
          <w:bCs/>
          <w:sz w:val="24"/>
        </w:rPr>
        <w:t>，以保证项目能按时、保质地完成。协助</w:t>
      </w:r>
      <w:r>
        <w:rPr>
          <w:rFonts w:hint="eastAsia" w:ascii="仿宋" w:hAnsi="仿宋" w:eastAsia="仿宋" w:cs="宋体"/>
          <w:bCs/>
          <w:sz w:val="24"/>
          <w:lang w:eastAsia="zh-CN"/>
        </w:rPr>
        <w:t>咨询建议</w:t>
      </w:r>
      <w:r>
        <w:rPr>
          <w:rFonts w:hint="eastAsia" w:ascii="仿宋" w:hAnsi="仿宋" w:eastAsia="仿宋" w:cs="宋体"/>
          <w:bCs/>
          <w:sz w:val="24"/>
        </w:rPr>
        <w:t>内容包括但不限于：需求规格说明书，概要设计、详细设计、综合测试报告、项目阶段报告、项目上线报告、项目验收报告</w:t>
      </w:r>
      <w:r>
        <w:rPr>
          <w:rFonts w:hint="eastAsia" w:ascii="仿宋" w:hAnsi="仿宋" w:eastAsia="仿宋" w:cs="宋体"/>
          <w:bCs/>
          <w:sz w:val="24"/>
          <w:lang w:eastAsia="zh-CN"/>
        </w:rPr>
        <w:t>、</w:t>
      </w:r>
      <w:r>
        <w:rPr>
          <w:rFonts w:hint="eastAsia" w:ascii="仿宋" w:hAnsi="仿宋" w:eastAsia="仿宋" w:cs="宋体"/>
          <w:bCs/>
          <w:sz w:val="24"/>
          <w:lang w:val="en-US" w:eastAsia="zh-CN"/>
        </w:rPr>
        <w:t>密码应用方案</w:t>
      </w:r>
      <w:r>
        <w:rPr>
          <w:rFonts w:hint="eastAsia" w:ascii="仿宋" w:hAnsi="仿宋" w:eastAsia="仿宋" w:cs="宋体"/>
          <w:bCs/>
          <w:sz w:val="24"/>
        </w:rPr>
        <w:t>。</w:t>
      </w:r>
    </w:p>
    <w:p w14:paraId="65D8270E">
      <w:pPr>
        <w:pStyle w:val="3"/>
        <w:numPr>
          <w:ilvl w:val="0"/>
          <w:numId w:val="5"/>
        </w:numPr>
        <w:tabs>
          <w:tab w:val="left" w:pos="709"/>
        </w:tabs>
        <w:rPr>
          <w:rFonts w:hint="eastAsia" w:ascii="仿宋" w:hAnsi="仿宋" w:eastAsia="仿宋" w:cs="仿宋"/>
          <w:sz w:val="24"/>
          <w:szCs w:val="24"/>
        </w:rPr>
      </w:pPr>
      <w:r>
        <w:rPr>
          <w:rFonts w:hint="eastAsia" w:ascii="仿宋" w:hAnsi="仿宋" w:eastAsia="仿宋" w:cs="仿宋"/>
          <w:sz w:val="24"/>
          <w:szCs w:val="24"/>
        </w:rPr>
        <w:t>设计团队人员要求</w:t>
      </w:r>
    </w:p>
    <w:p w14:paraId="290EBAD0">
      <w:pPr>
        <w:tabs>
          <w:tab w:val="left" w:pos="2880"/>
        </w:tabs>
        <w:spacing w:line="360" w:lineRule="auto"/>
        <w:ind w:firstLine="480" w:firstLineChars="200"/>
        <w:jc w:val="left"/>
        <w:rPr>
          <w:rFonts w:hint="eastAsia" w:ascii="仿宋" w:hAnsi="仿宋" w:eastAsia="仿宋" w:cs="宋体"/>
          <w:bCs/>
          <w:sz w:val="24"/>
        </w:rPr>
      </w:pPr>
      <w:r>
        <w:rPr>
          <w:rFonts w:hint="eastAsia" w:ascii="仿宋" w:hAnsi="仿宋" w:eastAsia="仿宋" w:cs="宋体"/>
          <w:bCs/>
          <w:sz w:val="24"/>
        </w:rPr>
        <w:t>项目设计人员是设计单位与采购人联系的支持点，需具备信息化项目咨询、设计方面的经验和相关职称或技能。</w:t>
      </w:r>
    </w:p>
    <w:p w14:paraId="6869FF01">
      <w:pPr>
        <w:spacing w:line="360" w:lineRule="auto"/>
        <w:ind w:firstLine="480" w:firstLineChars="200"/>
        <w:contextualSpacing/>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w:t>
      </w:r>
      <w:r>
        <w:rPr>
          <w:rFonts w:hint="eastAsia" w:ascii="仿宋" w:hAnsi="仿宋" w:eastAsia="仿宋" w:cs="仿宋"/>
          <w:color w:val="000000"/>
          <w:sz w:val="24"/>
          <w:highlight w:val="none"/>
        </w:rPr>
        <w:t>项目经理</w:t>
      </w: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rPr>
        <w:t>名。具体负责组建团队，主持项目工作分解与分工，组织团队针对任务制定项目计划和工作分工，实行项目进程管理、节点管理和质量控制，负责组织项目方案等交付成果物的编制，进行各阶段的沟通协调与会议汇报。具有良好的沟通管理、组织协调能力，具有项目相关经验和涉及专业的持证上岗和良好的沟通管理、组织协调能力，要求具有项目</w:t>
      </w:r>
      <w:r>
        <w:rPr>
          <w:rFonts w:hint="eastAsia" w:ascii="仿宋" w:hAnsi="仿宋" w:eastAsia="仿宋" w:cs="仿宋"/>
          <w:color w:val="000000"/>
          <w:sz w:val="24"/>
          <w:highlight w:val="none"/>
          <w:lang w:val="en-US" w:eastAsia="zh-CN"/>
        </w:rPr>
        <w:t>经理</w:t>
      </w:r>
      <w:r>
        <w:rPr>
          <w:rFonts w:hint="eastAsia" w:ascii="仿宋" w:hAnsi="仿宋" w:eastAsia="仿宋" w:cs="仿宋"/>
          <w:color w:val="000000"/>
          <w:sz w:val="24"/>
          <w:highlight w:val="none"/>
        </w:rPr>
        <w:t>1名，需具有：</w:t>
      </w:r>
    </w:p>
    <w:p w14:paraId="3C7543B2">
      <w:pPr>
        <w:tabs>
          <w:tab w:val="left" w:pos="2880"/>
        </w:tabs>
        <w:spacing w:line="360" w:lineRule="auto"/>
        <w:ind w:firstLine="480" w:firstLineChars="200"/>
        <w:jc w:val="left"/>
        <w:rPr>
          <w:rFonts w:hint="eastAsia" w:ascii="仿宋" w:hAnsi="仿宋" w:eastAsia="仿宋" w:cs="宋体"/>
          <w:bCs/>
          <w:sz w:val="24"/>
        </w:rPr>
      </w:pPr>
      <w:r>
        <w:rPr>
          <w:rFonts w:hint="eastAsia" w:ascii="仿宋" w:hAnsi="仿宋" w:eastAsia="仿宋" w:cs="宋体"/>
          <w:bCs/>
          <w:sz w:val="24"/>
          <w:lang w:val="en-US" w:eastAsia="zh-CN"/>
        </w:rPr>
        <w:t>①</w:t>
      </w:r>
      <w:r>
        <w:rPr>
          <w:rFonts w:hint="eastAsia" w:ascii="仿宋" w:hAnsi="仿宋" w:eastAsia="仿宋" w:cs="宋体"/>
          <w:bCs/>
          <w:sz w:val="24"/>
        </w:rPr>
        <w:t>人力资源和社会保障部与工业和信息化部联合颁发的高级信息系统项目管理师证书；</w:t>
      </w:r>
    </w:p>
    <w:p w14:paraId="46202A14">
      <w:pPr>
        <w:tabs>
          <w:tab w:val="left" w:pos="2880"/>
        </w:tabs>
        <w:spacing w:line="360" w:lineRule="auto"/>
        <w:ind w:firstLine="480" w:firstLineChars="200"/>
        <w:jc w:val="left"/>
        <w:rPr>
          <w:rFonts w:hint="eastAsia" w:ascii="仿宋" w:hAnsi="仿宋" w:eastAsia="仿宋" w:cs="宋体"/>
          <w:bCs/>
          <w:sz w:val="24"/>
        </w:rPr>
      </w:pPr>
      <w:r>
        <w:rPr>
          <w:rFonts w:hint="eastAsia" w:ascii="仿宋" w:hAnsi="仿宋" w:eastAsia="仿宋" w:cs="宋体"/>
          <w:bCs/>
          <w:sz w:val="24"/>
          <w:lang w:val="en-US" w:eastAsia="zh-CN"/>
        </w:rPr>
        <w:t>②</w:t>
      </w:r>
      <w:r>
        <w:rPr>
          <w:rFonts w:hint="eastAsia" w:ascii="仿宋" w:hAnsi="仿宋" w:eastAsia="仿宋" w:cs="宋体"/>
          <w:bCs/>
          <w:sz w:val="24"/>
        </w:rPr>
        <w:t>人力资源和社会保障部和工业和信息化部批准颁发的中级或以上系统集成项目管理工程师证书；</w:t>
      </w:r>
    </w:p>
    <w:p w14:paraId="76F6EDC6">
      <w:pPr>
        <w:tabs>
          <w:tab w:val="left" w:pos="2880"/>
        </w:tabs>
        <w:spacing w:line="360" w:lineRule="auto"/>
        <w:ind w:firstLine="480" w:firstLineChars="200"/>
        <w:jc w:val="left"/>
        <w:rPr>
          <w:rFonts w:hint="eastAsia" w:ascii="仿宋" w:hAnsi="仿宋" w:eastAsia="仿宋" w:cs="宋体"/>
          <w:bCs/>
          <w:sz w:val="24"/>
        </w:rPr>
      </w:pPr>
      <w:bookmarkStart w:id="11" w:name="OLE_LINK2"/>
      <w:r>
        <w:rPr>
          <w:rFonts w:hint="eastAsia" w:ascii="仿宋" w:hAnsi="仿宋" w:eastAsia="仿宋" w:cs="宋体"/>
          <w:bCs/>
          <w:sz w:val="24"/>
          <w:lang w:val="en-US" w:eastAsia="zh-CN"/>
        </w:rPr>
        <w:t>③</w:t>
      </w:r>
      <w:r>
        <w:rPr>
          <w:rFonts w:hint="eastAsia" w:ascii="仿宋" w:hAnsi="仿宋" w:eastAsia="仿宋" w:cs="宋体"/>
          <w:bCs/>
          <w:sz w:val="24"/>
        </w:rPr>
        <w:t>人力资源和社会保障部和工业和信息化部批准颁发的</w:t>
      </w:r>
      <w:bookmarkEnd w:id="11"/>
      <w:r>
        <w:rPr>
          <w:rFonts w:hint="eastAsia" w:ascii="仿宋" w:hAnsi="仿宋" w:eastAsia="仿宋" w:cs="宋体"/>
          <w:bCs/>
          <w:sz w:val="24"/>
        </w:rPr>
        <w:t>中级或以上数据库系统工程师证书；</w:t>
      </w:r>
    </w:p>
    <w:p w14:paraId="4D8F8C2C">
      <w:pPr>
        <w:tabs>
          <w:tab w:val="left" w:pos="2880"/>
        </w:tabs>
        <w:spacing w:line="360" w:lineRule="auto"/>
        <w:ind w:firstLine="480" w:firstLineChars="200"/>
        <w:jc w:val="left"/>
        <w:rPr>
          <w:rFonts w:hint="eastAsia" w:ascii="仿宋" w:hAnsi="仿宋" w:eastAsia="仿宋" w:cs="宋体"/>
          <w:bCs/>
          <w:sz w:val="24"/>
        </w:rPr>
      </w:pPr>
      <w:r>
        <w:rPr>
          <w:rFonts w:hint="eastAsia" w:ascii="仿宋" w:hAnsi="仿宋" w:eastAsia="仿宋" w:cs="宋体"/>
          <w:bCs/>
          <w:sz w:val="24"/>
          <w:lang w:val="en-US" w:eastAsia="zh-CN"/>
        </w:rPr>
        <w:t>④</w:t>
      </w:r>
      <w:r>
        <w:rPr>
          <w:rFonts w:hint="eastAsia" w:ascii="仿宋" w:hAnsi="仿宋" w:eastAsia="仿宋" w:cs="宋体"/>
          <w:bCs/>
          <w:sz w:val="24"/>
        </w:rPr>
        <w:t>中国信息安全测评中心颁发的注册信息安全管理人员(CISP证书)证书及人力资源和社会保障部和工业和信息化部批准颁发的中级或以上信息安全工程师证书。</w:t>
      </w:r>
    </w:p>
    <w:p w14:paraId="5613DA63">
      <w:pPr>
        <w:widowControl w:val="0"/>
        <w:numPr>
          <w:ilvl w:val="0"/>
          <w:numId w:val="0"/>
        </w:numPr>
        <w:spacing w:after="0" w:line="360" w:lineRule="auto"/>
        <w:ind w:firstLine="480" w:firstLineChars="200"/>
        <w:jc w:val="both"/>
        <w:rPr>
          <w:rFonts w:hint="eastAsia" w:ascii="仿宋" w:hAnsi="仿宋" w:eastAsia="仿宋" w:cs="仿宋"/>
          <w:sz w:val="24"/>
          <w:highlight w:val="none"/>
        </w:rPr>
      </w:pPr>
      <w:r>
        <w:rPr>
          <w:rFonts w:hint="eastAsia" w:ascii="仿宋" w:hAnsi="仿宋" w:eastAsia="仿宋" w:cs="仿宋"/>
          <w:kern w:val="2"/>
          <w:sz w:val="24"/>
          <w:szCs w:val="24"/>
          <w:lang w:val="en-US" w:eastAsia="zh-CN" w:bidi="ar-SA"/>
        </w:rPr>
        <w:t>2.</w:t>
      </w:r>
      <w:r>
        <w:rPr>
          <w:rFonts w:hint="eastAsia" w:ascii="仿宋" w:hAnsi="仿宋" w:eastAsia="仿宋" w:cs="仿宋"/>
          <w:sz w:val="24"/>
          <w:highlight w:val="none"/>
        </w:rPr>
        <w:t>技术负责人</w:t>
      </w:r>
      <w:r>
        <w:rPr>
          <w:rFonts w:hint="eastAsia" w:ascii="仿宋" w:hAnsi="仿宋" w:eastAsia="仿宋" w:cs="仿宋"/>
          <w:sz w:val="24"/>
          <w:highlight w:val="none"/>
          <w:lang w:eastAsia="zh-CN"/>
        </w:rPr>
        <w:t>1名：</w:t>
      </w:r>
      <w:r>
        <w:rPr>
          <w:rFonts w:hint="eastAsia" w:ascii="仿宋" w:hAnsi="仿宋" w:eastAsia="仿宋" w:cs="仿宋"/>
          <w:sz w:val="24"/>
          <w:highlight w:val="none"/>
        </w:rPr>
        <w:t>具体负责项目咨询设计要贯彻执行国家有关法律、法规、规程、规范、标准，组织设计方案和预算的会审工作，技术核定工作。技术负责人具备熟悉</w:t>
      </w:r>
      <w:r>
        <w:rPr>
          <w:rFonts w:hint="eastAsia" w:ascii="仿宋" w:hAnsi="仿宋" w:eastAsia="仿宋" w:cs="仿宋"/>
          <w:bCs/>
          <w:color w:val="212121"/>
          <w:spacing w:val="10"/>
          <w:sz w:val="24"/>
          <w:highlight w:val="none"/>
        </w:rPr>
        <w:t>信息系统项目管理</w:t>
      </w:r>
      <w:r>
        <w:rPr>
          <w:rFonts w:hint="eastAsia" w:ascii="仿宋" w:hAnsi="仿宋" w:eastAsia="仿宋" w:cs="仿宋"/>
          <w:sz w:val="24"/>
          <w:highlight w:val="none"/>
        </w:rPr>
        <w:t>的有关法律法规、技术标准与规范，具备涉及</w:t>
      </w:r>
      <w:r>
        <w:rPr>
          <w:rFonts w:hint="eastAsia" w:ascii="仿宋" w:hAnsi="仿宋" w:eastAsia="仿宋" w:cs="仿宋"/>
          <w:sz w:val="24"/>
          <w:highlight w:val="none"/>
          <w:lang w:eastAsia="zh-CN"/>
        </w:rPr>
        <w:t>软件架构设计、指导和</w:t>
      </w:r>
      <w:r>
        <w:rPr>
          <w:rFonts w:hint="eastAsia" w:ascii="仿宋" w:hAnsi="仿宋" w:eastAsia="仿宋" w:cs="仿宋"/>
          <w:sz w:val="24"/>
          <w:highlight w:val="none"/>
        </w:rPr>
        <w:t>审核能力;能在咨询设计的早期防范技术问题的能力，并有预防技术问题的措施和涉及专业的持证上岗，</w:t>
      </w:r>
      <w:bookmarkStart w:id="12" w:name="OLE_LINK7"/>
      <w:r>
        <w:rPr>
          <w:rFonts w:hint="eastAsia" w:ascii="仿宋" w:hAnsi="仿宋" w:eastAsia="仿宋" w:cs="仿宋"/>
          <w:sz w:val="24"/>
          <w:highlight w:val="none"/>
        </w:rPr>
        <w:t>要求如下：</w:t>
      </w:r>
    </w:p>
    <w:bookmarkEnd w:id="12"/>
    <w:p w14:paraId="526210D8">
      <w:pPr>
        <w:widowControl w:val="0"/>
        <w:numPr>
          <w:ilvl w:val="0"/>
          <w:numId w:val="0"/>
        </w:numPr>
        <w:spacing w:after="0" w:line="360" w:lineRule="auto"/>
        <w:ind w:firstLine="480" w:firstLineChars="200"/>
        <w:jc w:val="both"/>
        <w:rPr>
          <w:rFonts w:hint="eastAsia" w:ascii="仿宋" w:hAnsi="仿宋" w:eastAsia="仿宋" w:cs="仿宋"/>
          <w:sz w:val="24"/>
          <w:highlight w:val="none"/>
        </w:rPr>
      </w:pPr>
      <w:r>
        <w:rPr>
          <w:rFonts w:hint="eastAsia" w:ascii="仿宋" w:hAnsi="仿宋" w:eastAsia="仿宋" w:cs="仿宋"/>
          <w:sz w:val="24"/>
          <w:highlight w:val="none"/>
          <w:lang w:val="en-US" w:eastAsia="zh-CN"/>
        </w:rPr>
        <w:t>①</w:t>
      </w:r>
      <w:r>
        <w:rPr>
          <w:rFonts w:hint="eastAsia" w:ascii="仿宋" w:hAnsi="仿宋" w:eastAsia="仿宋" w:cs="仿宋"/>
          <w:sz w:val="24"/>
          <w:highlight w:val="none"/>
        </w:rPr>
        <w:t>具有工业和信息化部（原信息产业部）或人力资源和社会保障局颁发的</w:t>
      </w:r>
      <w:bookmarkStart w:id="13" w:name="OLE_LINK6"/>
      <w:r>
        <w:rPr>
          <w:rFonts w:hint="eastAsia" w:ascii="仿宋" w:hAnsi="仿宋" w:eastAsia="仿宋" w:cs="仿宋"/>
          <w:sz w:val="24"/>
          <w:highlight w:val="none"/>
        </w:rPr>
        <w:t>信息系统项目管理</w:t>
      </w:r>
      <w:bookmarkEnd w:id="13"/>
      <w:r>
        <w:rPr>
          <w:rFonts w:hint="eastAsia" w:ascii="仿宋" w:hAnsi="仿宋" w:eastAsia="仿宋" w:cs="仿宋"/>
          <w:sz w:val="24"/>
          <w:highlight w:val="none"/>
        </w:rPr>
        <w:t>师</w:t>
      </w:r>
      <w:bookmarkStart w:id="14" w:name="OLE_LINK5"/>
      <w:r>
        <w:rPr>
          <w:rFonts w:hint="eastAsia" w:ascii="仿宋" w:hAnsi="仿宋" w:eastAsia="仿宋" w:cs="仿宋"/>
          <w:sz w:val="24"/>
          <w:highlight w:val="none"/>
        </w:rPr>
        <w:t>证书</w:t>
      </w:r>
      <w:bookmarkEnd w:id="14"/>
      <w:r>
        <w:rPr>
          <w:rFonts w:hint="eastAsia" w:ascii="仿宋" w:hAnsi="仿宋" w:eastAsia="仿宋" w:cs="仿宋"/>
          <w:sz w:val="24"/>
          <w:highlight w:val="none"/>
        </w:rPr>
        <w:t>；</w:t>
      </w:r>
    </w:p>
    <w:p w14:paraId="4C2B5104">
      <w:pPr>
        <w:widowControl w:val="0"/>
        <w:numPr>
          <w:ilvl w:val="0"/>
          <w:numId w:val="0"/>
        </w:numPr>
        <w:spacing w:after="0" w:line="360" w:lineRule="auto"/>
        <w:ind w:firstLine="480" w:firstLineChars="200"/>
        <w:jc w:val="both"/>
        <w:rPr>
          <w:rFonts w:hint="eastAsia" w:ascii="仿宋" w:hAnsi="仿宋" w:eastAsia="仿宋" w:cs="仿宋"/>
          <w:sz w:val="24"/>
          <w:highlight w:val="none"/>
        </w:rPr>
      </w:pPr>
      <w:r>
        <w:rPr>
          <w:rFonts w:hint="eastAsia" w:ascii="仿宋" w:hAnsi="仿宋" w:eastAsia="仿宋" w:cs="仿宋"/>
          <w:sz w:val="24"/>
          <w:highlight w:val="none"/>
          <w:lang w:val="en-US" w:eastAsia="zh-CN"/>
        </w:rPr>
        <w:t>②</w:t>
      </w:r>
      <w:r>
        <w:rPr>
          <w:rFonts w:hint="eastAsia" w:ascii="仿宋" w:hAnsi="仿宋" w:eastAsia="仿宋" w:cs="仿宋"/>
          <w:sz w:val="24"/>
          <w:highlight w:val="none"/>
        </w:rPr>
        <w:t>人力资源和社会保障部和工业和信息化部批准颁发的系统架构设计师（</w:t>
      </w:r>
      <w:r>
        <w:rPr>
          <w:rFonts w:hint="eastAsia" w:ascii="仿宋" w:hAnsi="仿宋" w:eastAsia="仿宋" w:cs="仿宋"/>
          <w:sz w:val="24"/>
          <w:highlight w:val="none"/>
          <w:lang w:eastAsia="zh-CN"/>
        </w:rPr>
        <w:t>高级</w:t>
      </w:r>
      <w:r>
        <w:rPr>
          <w:rFonts w:hint="eastAsia" w:ascii="仿宋" w:hAnsi="仿宋" w:eastAsia="仿宋" w:cs="仿宋"/>
          <w:sz w:val="24"/>
          <w:highlight w:val="none"/>
        </w:rPr>
        <w:t>）证书；</w:t>
      </w:r>
    </w:p>
    <w:p w14:paraId="192279B0">
      <w:pPr>
        <w:widowControl w:val="0"/>
        <w:numPr>
          <w:ilvl w:val="0"/>
          <w:numId w:val="0"/>
        </w:numPr>
        <w:spacing w:after="0" w:line="360" w:lineRule="auto"/>
        <w:ind w:firstLine="480" w:firstLineChars="200"/>
        <w:jc w:val="both"/>
        <w:rPr>
          <w:rFonts w:hint="eastAsia" w:ascii="仿宋" w:hAnsi="仿宋" w:eastAsia="仿宋" w:cs="仿宋"/>
          <w:sz w:val="24"/>
          <w:highlight w:val="none"/>
        </w:rPr>
      </w:pPr>
      <w:r>
        <w:rPr>
          <w:rFonts w:hint="eastAsia" w:ascii="仿宋" w:hAnsi="仿宋" w:eastAsia="仿宋" w:cs="仿宋"/>
          <w:kern w:val="2"/>
          <w:sz w:val="24"/>
          <w:szCs w:val="24"/>
          <w:lang w:val="en-US" w:eastAsia="zh-CN" w:bidi="ar-SA"/>
        </w:rPr>
        <w:t>3.</w:t>
      </w:r>
      <w:r>
        <w:rPr>
          <w:rFonts w:hint="eastAsia" w:ascii="仿宋" w:hAnsi="仿宋" w:eastAsia="仿宋" w:cs="仿宋"/>
          <w:sz w:val="24"/>
          <w:highlight w:val="none"/>
          <w:lang w:eastAsia="zh-CN"/>
        </w:rPr>
        <w:t>数据规划专家顾问1名</w:t>
      </w:r>
      <w:r>
        <w:rPr>
          <w:rFonts w:hint="eastAsia" w:ascii="仿宋" w:hAnsi="仿宋" w:eastAsia="仿宋" w:cs="仿宋"/>
          <w:bCs/>
          <w:color w:val="212121"/>
          <w:spacing w:val="10"/>
          <w:sz w:val="24"/>
          <w:highlight w:val="none"/>
          <w:lang w:eastAsia="zh-CN"/>
        </w:rPr>
        <w:t>：</w:t>
      </w:r>
      <w:r>
        <w:rPr>
          <w:rFonts w:hint="eastAsia" w:ascii="仿宋" w:hAnsi="仿宋" w:eastAsia="仿宋" w:cs="仿宋"/>
          <w:sz w:val="24"/>
          <w:highlight w:val="none"/>
        </w:rPr>
        <w:t>具体负责</w:t>
      </w:r>
      <w:r>
        <w:rPr>
          <w:rFonts w:hint="eastAsia" w:ascii="仿宋" w:hAnsi="仿宋" w:eastAsia="仿宋" w:cs="仿宋"/>
          <w:sz w:val="24"/>
          <w:highlight w:val="none"/>
          <w:lang w:eastAsia="zh-CN"/>
        </w:rPr>
        <w:t>指导本期设计涉及的各个数据系统</w:t>
      </w:r>
      <w:r>
        <w:rPr>
          <w:rFonts w:hint="eastAsia" w:ascii="仿宋" w:hAnsi="仿宋" w:eastAsia="仿宋" w:cs="仿宋"/>
          <w:sz w:val="24"/>
          <w:highlight w:val="none"/>
        </w:rPr>
        <w:t>涵盖的数据战略、数据治理、数据架构、数据应用、数据安全、数据质量、数据标准、数据生存周期八大核心，结合医院的业务特点牵头</w:t>
      </w:r>
      <w:r>
        <w:rPr>
          <w:rFonts w:hint="eastAsia" w:ascii="仿宋" w:hAnsi="仿宋" w:eastAsia="仿宋" w:cs="仿宋"/>
          <w:sz w:val="24"/>
          <w:highlight w:val="none"/>
          <w:lang w:eastAsia="zh-CN"/>
        </w:rPr>
        <w:t>指导本期设计相关</w:t>
      </w:r>
      <w:r>
        <w:rPr>
          <w:rFonts w:hint="eastAsia" w:ascii="仿宋" w:hAnsi="仿宋" w:eastAsia="仿宋" w:cs="仿宋"/>
          <w:sz w:val="24"/>
          <w:highlight w:val="none"/>
        </w:rPr>
        <w:t>的数据政策、制度和标准，为数据管理工作提供明确的规范和方向。包括明确各科室的权责、梳理数据管理流程，从源头上</w:t>
      </w:r>
      <w:r>
        <w:rPr>
          <w:rFonts w:hint="eastAsia" w:ascii="仿宋" w:hAnsi="仿宋" w:eastAsia="仿宋" w:cs="仿宋"/>
          <w:sz w:val="24"/>
          <w:highlight w:val="none"/>
          <w:lang w:eastAsia="zh-CN"/>
        </w:rPr>
        <w:t>指导</w:t>
      </w:r>
      <w:r>
        <w:rPr>
          <w:rFonts w:hint="eastAsia" w:ascii="仿宋" w:hAnsi="仿宋" w:eastAsia="仿宋" w:cs="仿宋"/>
          <w:sz w:val="24"/>
          <w:highlight w:val="none"/>
        </w:rPr>
        <w:t>数据管理的有序推进。要求如下：</w:t>
      </w:r>
    </w:p>
    <w:p w14:paraId="76393FC6">
      <w:pPr>
        <w:widowControl w:val="0"/>
        <w:numPr>
          <w:ilvl w:val="0"/>
          <w:numId w:val="0"/>
        </w:numPr>
        <w:spacing w:after="0" w:line="360" w:lineRule="auto"/>
        <w:ind w:firstLine="480" w:firstLineChars="200"/>
        <w:jc w:val="both"/>
        <w:rPr>
          <w:rFonts w:hint="eastAsia" w:ascii="仿宋" w:hAnsi="仿宋" w:eastAsia="仿宋" w:cs="仿宋"/>
          <w:sz w:val="24"/>
          <w:highlight w:val="none"/>
        </w:rPr>
      </w:pPr>
      <w:r>
        <w:rPr>
          <w:rFonts w:hint="eastAsia" w:ascii="仿宋" w:hAnsi="仿宋" w:eastAsia="仿宋" w:cs="仿宋"/>
          <w:sz w:val="24"/>
          <w:highlight w:val="none"/>
          <w:lang w:eastAsia="zh-CN"/>
        </w:rPr>
        <w:t>具</w:t>
      </w:r>
      <w:r>
        <w:rPr>
          <w:rFonts w:hint="eastAsia" w:ascii="仿宋" w:hAnsi="仿宋" w:eastAsia="仿宋" w:cs="仿宋"/>
          <w:sz w:val="24"/>
          <w:highlight w:val="none"/>
        </w:rPr>
        <w:t>有工业和信息化部教育与考试中心颁发DCMM数据管理师（初级或以上）证书人员</w:t>
      </w:r>
    </w:p>
    <w:p w14:paraId="3B361F74">
      <w:pPr>
        <w:numPr>
          <w:ilvl w:val="-1"/>
          <w:numId w:val="0"/>
        </w:num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val="en-US" w:eastAsia="zh-CN"/>
        </w:rPr>
        <w:t>4.</w:t>
      </w:r>
      <w:r>
        <w:rPr>
          <w:rFonts w:hint="eastAsia" w:ascii="仿宋" w:hAnsi="仿宋" w:eastAsia="仿宋" w:cs="仿宋"/>
          <w:bCs/>
          <w:sz w:val="24"/>
          <w:lang w:eastAsia="zh-CN"/>
        </w:rPr>
        <w:t>本期设计范围包含两个院区，要求不少于</w:t>
      </w:r>
      <w:r>
        <w:rPr>
          <w:rFonts w:hint="eastAsia" w:ascii="仿宋" w:hAnsi="仿宋" w:eastAsia="仿宋" w:cs="仿宋"/>
          <w:bCs/>
          <w:sz w:val="24"/>
          <w:lang w:val="en-US" w:eastAsia="zh-CN"/>
        </w:rPr>
        <w:t>2</w:t>
      </w:r>
      <w:r>
        <w:rPr>
          <w:rFonts w:hint="eastAsia" w:ascii="仿宋" w:hAnsi="仿宋" w:eastAsia="仿宋" w:cs="仿宋"/>
          <w:bCs/>
          <w:sz w:val="24"/>
          <w:lang w:eastAsia="zh-CN"/>
        </w:rPr>
        <w:t>组调研设计人员，需持证上岗。每组需配备：①中国信息安全测评中心颁发的注册信息安全工程师(CISP证书)证书，不少于2人，一个A角和一个B角（当A角因故无法到场时，B角须无条件及时到场接替工作，确保项目服务不中断、标准不降低），主要负责：熟悉设计编制涉及的商密系统和等保安全性和合规性以及编制相应的咨询设计文件，了解设计技术及安全标准，做好识别和管理潜在的安全风险，确保设</w:t>
      </w:r>
      <w:r>
        <w:rPr>
          <w:rFonts w:hint="eastAsia" w:ascii="仿宋" w:hAnsi="仿宋" w:eastAsia="仿宋" w:cs="仿宋"/>
          <w:sz w:val="24"/>
          <w:highlight w:val="none"/>
        </w:rPr>
        <w:t>计过程符合相关的法律法规和行业标准。②持有由人力资源和社会保障部和工业和信息化部联合颁发的信息系统项目管理师（中级或以上），不少于2人，一个A角和一个B角</w:t>
      </w:r>
      <w:r>
        <w:rPr>
          <w:rFonts w:hint="eastAsia" w:ascii="仿宋" w:hAnsi="仿宋" w:eastAsia="仿宋" w:cs="仿宋"/>
          <w:sz w:val="24"/>
          <w:highlight w:val="none"/>
          <w:lang w:eastAsia="zh-CN"/>
        </w:rPr>
        <w:t>（当A角因故无法到场时，B角须无条件及时到场接替工作，确保项目服务不中断、标准不降低）</w:t>
      </w:r>
      <w:r>
        <w:rPr>
          <w:rFonts w:hint="eastAsia" w:ascii="仿宋" w:hAnsi="仿宋" w:eastAsia="仿宋" w:cs="仿宋"/>
          <w:sz w:val="24"/>
          <w:highlight w:val="none"/>
        </w:rPr>
        <w:t>，负责实施组的信息系统项目管理，组织制订小组的咨询调研管理计划;组织调研实施，对需求调研组的人员、进度和质量等进行管理，能分析和评估自己对应小组的管理计划和成果;能在项目的早期进行预防问题的管理措施。③持有由人力资源和社会保障部和工业和信息化部联合颁发的</w:t>
      </w:r>
      <w:r>
        <w:rPr>
          <w:rFonts w:hint="eastAsia" w:ascii="仿宋" w:hAnsi="仿宋" w:eastAsia="仿宋" w:cs="仿宋"/>
          <w:sz w:val="24"/>
          <w:highlight w:val="none"/>
          <w:lang w:eastAsia="zh-CN"/>
        </w:rPr>
        <w:t>网络工程师</w:t>
      </w:r>
      <w:r>
        <w:rPr>
          <w:rFonts w:hint="eastAsia" w:ascii="仿宋" w:hAnsi="仿宋" w:eastAsia="仿宋" w:cs="仿宋"/>
          <w:sz w:val="24"/>
          <w:highlight w:val="none"/>
        </w:rPr>
        <w:t>（</w:t>
      </w:r>
      <w:r>
        <w:rPr>
          <w:rFonts w:hint="eastAsia" w:ascii="仿宋" w:hAnsi="仿宋" w:eastAsia="仿宋" w:cs="仿宋"/>
          <w:sz w:val="24"/>
          <w:highlight w:val="none"/>
          <w:lang w:eastAsia="zh-CN"/>
        </w:rPr>
        <w:t>中级或以上</w:t>
      </w:r>
      <w:r>
        <w:rPr>
          <w:rFonts w:hint="eastAsia" w:ascii="仿宋" w:hAnsi="仿宋" w:eastAsia="仿宋" w:cs="仿宋"/>
          <w:sz w:val="24"/>
          <w:highlight w:val="none"/>
        </w:rPr>
        <w:t>）人员，</w:t>
      </w:r>
      <w:r>
        <w:rPr>
          <w:rFonts w:hint="eastAsia" w:ascii="仿宋" w:hAnsi="仿宋" w:eastAsia="仿宋" w:cs="仿宋"/>
          <w:bCs/>
          <w:sz w:val="24"/>
        </w:rPr>
        <w:t>不少于2人，一个A角和一个B角</w:t>
      </w:r>
      <w:r>
        <w:rPr>
          <w:rFonts w:hint="eastAsia" w:ascii="仿宋" w:hAnsi="仿宋" w:eastAsia="仿宋" w:cs="仿宋"/>
          <w:sz w:val="24"/>
          <w:highlight w:val="none"/>
          <w:lang w:eastAsia="zh-CN"/>
        </w:rPr>
        <w:t>（当A角因故无法到场时，B角须无条件及时到场接替工作，确保项目服务不中断、标准不降低）</w:t>
      </w:r>
      <w:r>
        <w:rPr>
          <w:rFonts w:hint="eastAsia" w:ascii="仿宋" w:hAnsi="仿宋" w:eastAsia="仿宋" w:cs="仿宋"/>
          <w:sz w:val="24"/>
          <w:highlight w:val="none"/>
        </w:rPr>
        <w:t>，</w:t>
      </w:r>
      <w:r>
        <w:rPr>
          <w:rFonts w:hint="eastAsia" w:ascii="仿宋" w:hAnsi="仿宋" w:eastAsia="仿宋" w:cs="仿宋"/>
          <w:bCs/>
          <w:sz w:val="24"/>
        </w:rPr>
        <w:t>负责实施</w:t>
      </w:r>
      <w:r>
        <w:rPr>
          <w:rFonts w:hint="eastAsia" w:ascii="仿宋" w:hAnsi="仿宋" w:eastAsia="仿宋" w:cs="仿宋"/>
          <w:bCs/>
          <w:sz w:val="24"/>
          <w:lang w:eastAsia="zh-CN"/>
        </w:rPr>
        <w:t>网络</w:t>
      </w:r>
      <w:r>
        <w:rPr>
          <w:rFonts w:hint="eastAsia" w:ascii="仿宋" w:hAnsi="仿宋" w:eastAsia="仿宋" w:cs="仿宋"/>
          <w:sz w:val="24"/>
          <w:highlight w:val="none"/>
        </w:rPr>
        <w:t>规划、</w:t>
      </w:r>
      <w:r>
        <w:rPr>
          <w:rFonts w:hint="eastAsia" w:ascii="仿宋" w:hAnsi="仿宋" w:eastAsia="仿宋" w:cs="仿宋"/>
          <w:bCs/>
          <w:sz w:val="24"/>
          <w:lang w:eastAsia="zh-CN"/>
        </w:rPr>
        <w:t>建设</w:t>
      </w:r>
      <w:r>
        <w:rPr>
          <w:rFonts w:hint="eastAsia" w:ascii="仿宋" w:hAnsi="仿宋" w:eastAsia="仿宋" w:cs="仿宋"/>
          <w:sz w:val="24"/>
          <w:highlight w:val="none"/>
        </w:rPr>
        <w:t>、</w:t>
      </w:r>
      <w:r>
        <w:rPr>
          <w:rFonts w:hint="eastAsia" w:ascii="仿宋" w:hAnsi="仿宋" w:eastAsia="仿宋" w:cs="仿宋"/>
          <w:bCs/>
          <w:sz w:val="24"/>
          <w:lang w:eastAsia="zh-CN"/>
        </w:rPr>
        <w:t>编写网络架构文档，分析网络流量和性能数据</w:t>
      </w:r>
      <w:r>
        <w:rPr>
          <w:rFonts w:hint="eastAsia" w:ascii="仿宋" w:hAnsi="仿宋" w:eastAsia="仿宋" w:cs="仿宋"/>
          <w:sz w:val="24"/>
          <w:highlight w:val="none"/>
        </w:rPr>
        <w:t>，保证</w:t>
      </w:r>
      <w:r>
        <w:rPr>
          <w:rFonts w:hint="eastAsia" w:ascii="仿宋" w:hAnsi="仿宋" w:eastAsia="仿宋" w:cs="仿宋"/>
          <w:bCs/>
          <w:sz w:val="24"/>
          <w:lang w:eastAsia="zh-CN"/>
        </w:rPr>
        <w:t>初步设计</w:t>
      </w:r>
      <w:r>
        <w:rPr>
          <w:rFonts w:hint="eastAsia" w:ascii="仿宋" w:hAnsi="仿宋" w:eastAsia="仿宋" w:cs="仿宋"/>
          <w:sz w:val="24"/>
          <w:highlight w:val="none"/>
        </w:rPr>
        <w:t>符合国家法规和成果的科学高效。</w:t>
      </w:r>
      <w:bookmarkStart w:id="15" w:name="OLE_LINK4"/>
      <w:r>
        <w:rPr>
          <w:rFonts w:hint="eastAsia" w:ascii="仿宋" w:hAnsi="仿宋" w:eastAsia="仿宋" w:cs="仿宋"/>
          <w:bCs/>
          <w:sz w:val="24"/>
        </w:rPr>
        <w:t>④</w:t>
      </w:r>
      <w:bookmarkEnd w:id="15"/>
      <w:r>
        <w:rPr>
          <w:rFonts w:hint="eastAsia" w:ascii="仿宋" w:hAnsi="仿宋" w:eastAsia="仿宋" w:cs="仿宋"/>
          <w:bCs/>
          <w:sz w:val="24"/>
        </w:rPr>
        <w:t>持有由工业和信息化部教育与考试中心颁发的软件工程师，不少于1人，一个A角和一个B角（当A角因故无法到场时，B角须无条件及时到场接替工作，确保项目服务不中断、标准不降低），主要负责：负责早期成本估算：依据需求规格、原型等设计材料，选用功能点，估算项目规模、工作量与成本。对比不同技术方案（如自研、采购、混合）的经济性，为架构决策提供成本依据。分析影响成本的关键点（如高复杂度模块、外部接口、数据迁移），并在设计中提出优化建议。制定预算基线：与预算部门协同，输出软件部分的预算分解，覆盖设计、开发、测试、部署等全环节。 风险量化与预备费：评估技术不确定性可能带来的成本风险，合理建议预留预备费。建立成本追溯模型：将成本分配到具体功能或组件，便于后续变更时快速评估成本影响。⑤持有由人力资源和社会保障部</w:t>
      </w:r>
      <w:r>
        <w:rPr>
          <w:rFonts w:hint="eastAsia" w:ascii="仿宋" w:hAnsi="仿宋" w:eastAsia="仿宋" w:cs="仿宋"/>
          <w:bCs/>
          <w:sz w:val="24"/>
          <w:lang w:eastAsia="zh-CN"/>
        </w:rPr>
        <w:t>或行业主管协会</w:t>
      </w:r>
      <w:r>
        <w:rPr>
          <w:rFonts w:hint="eastAsia" w:ascii="仿宋" w:hAnsi="仿宋" w:eastAsia="仿宋" w:cs="仿宋"/>
          <w:bCs/>
          <w:sz w:val="24"/>
        </w:rPr>
        <w:t>颁发的信息通信建设工程造价编制管理人员；不少于2人，一个A角和一个B角</w:t>
      </w:r>
      <w:r>
        <w:rPr>
          <w:rFonts w:hint="eastAsia" w:ascii="仿宋" w:hAnsi="仿宋" w:eastAsia="仿宋" w:cs="仿宋"/>
          <w:sz w:val="24"/>
          <w:highlight w:val="none"/>
          <w:lang w:eastAsia="zh-CN"/>
        </w:rPr>
        <w:t>（当A角因故无法到场时，B角须无条件及时到场接替工作，确保项目服务不中断、标准不降低）</w:t>
      </w:r>
      <w:r>
        <w:rPr>
          <w:rFonts w:hint="eastAsia" w:ascii="仿宋" w:hAnsi="仿宋" w:eastAsia="仿宋" w:cs="仿宋"/>
          <w:bCs/>
          <w:sz w:val="24"/>
        </w:rPr>
        <w:t>，主要负责：</w:t>
      </w:r>
      <w:r>
        <w:rPr>
          <w:rFonts w:hint="eastAsia" w:ascii="仿宋" w:hAnsi="仿宋" w:eastAsia="仿宋" w:cs="仿宋"/>
          <w:bCs/>
          <w:sz w:val="24"/>
          <w:lang w:eastAsia="zh-CN"/>
        </w:rPr>
        <w:t>需</w:t>
      </w:r>
      <w:r>
        <w:rPr>
          <w:rFonts w:hint="eastAsia" w:ascii="仿宋" w:hAnsi="仿宋" w:eastAsia="仿宋" w:cs="仿宋"/>
          <w:bCs/>
          <w:sz w:val="24"/>
        </w:rPr>
        <w:t>熟悉国家及行业有关工程造价的法律法规及管理规定，精通本专业理论知识，具备正确编制或审核工程概预算的能力。</w:t>
      </w:r>
    </w:p>
    <w:p w14:paraId="1FA6A1D6">
      <w:pPr>
        <w:widowControl/>
        <w:spacing w:line="360" w:lineRule="auto"/>
        <w:ind w:firstLine="480" w:firstLineChars="200"/>
        <w:jc w:val="left"/>
        <w:rPr>
          <w:rFonts w:hint="eastAsia" w:ascii="仿宋" w:hAnsi="仿宋" w:eastAsia="仿宋" w:cs="宋体"/>
          <w:sz w:val="24"/>
          <w:lang w:bidi="ar"/>
        </w:rPr>
      </w:pPr>
      <w:r>
        <w:rPr>
          <w:rFonts w:hint="eastAsia" w:ascii="仿宋" w:hAnsi="仿宋" w:eastAsia="仿宋" w:cs="宋体"/>
          <w:sz w:val="24"/>
          <w:lang w:bidi="ar"/>
        </w:rPr>
        <w:t>响应供应商必须保证项目组人员和角色充足，确保项目组成员稳定，除了采购人提出要求外，不得随意更换，主要项目组成员必须参与本项目的工作。如需更换项目组成员，必须提前申请，并经过采购人书面同意。</w:t>
      </w:r>
    </w:p>
    <w:p w14:paraId="38C3DD6F">
      <w:pPr>
        <w:pStyle w:val="3"/>
        <w:numPr>
          <w:ilvl w:val="0"/>
          <w:numId w:val="5"/>
        </w:numPr>
        <w:tabs>
          <w:tab w:val="left" w:pos="709"/>
        </w:tabs>
        <w:rPr>
          <w:rFonts w:hint="eastAsia" w:ascii="仿宋" w:hAnsi="仿宋" w:eastAsia="仿宋" w:cs="仿宋"/>
          <w:sz w:val="24"/>
          <w:szCs w:val="24"/>
        </w:rPr>
      </w:pPr>
      <w:r>
        <w:rPr>
          <w:rFonts w:hint="eastAsia" w:ascii="仿宋" w:hAnsi="仿宋" w:eastAsia="仿宋" w:cs="仿宋"/>
          <w:sz w:val="24"/>
          <w:szCs w:val="24"/>
        </w:rPr>
        <w:t>工作成果</w:t>
      </w:r>
    </w:p>
    <w:p w14:paraId="15C6D975">
      <w:pPr>
        <w:pStyle w:val="17"/>
        <w:ind w:firstLine="480"/>
        <w:rPr>
          <w:rFonts w:hint="eastAsia" w:ascii="仿宋" w:hAnsi="仿宋" w:eastAsia="仿宋" w:cs="仿宋"/>
          <w:lang w:val="en-US"/>
        </w:rPr>
      </w:pPr>
      <w:r>
        <w:rPr>
          <w:rFonts w:hint="eastAsia" w:ascii="仿宋" w:hAnsi="仿宋" w:eastAsia="仿宋" w:cs="仿宋"/>
          <w:lang w:val="en-US"/>
        </w:rPr>
        <w:t>编制《</w:t>
      </w:r>
      <w:r>
        <w:rPr>
          <w:rFonts w:hint="eastAsia" w:ascii="仿宋" w:hAnsi="仿宋" w:eastAsia="仿宋" w:cs="仿宋"/>
          <w:kern w:val="0"/>
          <w:sz w:val="24"/>
        </w:rPr>
        <w:t>惠州市省级区域职业病防治中心（市职防院、市皮肤病医院）</w:t>
      </w:r>
      <w:r>
        <w:rPr>
          <w:rFonts w:hint="eastAsia" w:ascii="仿宋" w:hAnsi="仿宋" w:eastAsia="仿宋" w:cs="仿宋"/>
          <w:kern w:val="0"/>
          <w:sz w:val="24"/>
          <w:lang w:val="en-US" w:eastAsia="zh-CN"/>
        </w:rPr>
        <w:t>信息化</w:t>
      </w:r>
      <w:r>
        <w:rPr>
          <w:rFonts w:hint="eastAsia" w:ascii="仿宋" w:hAnsi="仿宋" w:eastAsia="仿宋" w:cs="仿宋"/>
          <w:kern w:val="0"/>
          <w:sz w:val="24"/>
        </w:rPr>
        <w:t>设计服务项目</w:t>
      </w:r>
      <w:r>
        <w:rPr>
          <w:rFonts w:hint="eastAsia" w:ascii="仿宋" w:hAnsi="仿宋" w:eastAsia="仿宋" w:cs="仿宋"/>
          <w:lang w:val="en-US"/>
        </w:rPr>
        <w:t>初步设计与投资概算书》</w:t>
      </w:r>
      <w:r>
        <w:rPr>
          <w:rFonts w:hint="eastAsia" w:ascii="仿宋" w:hAnsi="仿宋" w:eastAsia="仿宋" w:cs="仿宋"/>
          <w:lang w:val="en-US" w:eastAsia="zh-CN"/>
        </w:rPr>
        <w:t>和《系统密码应用方案》，</w:t>
      </w:r>
      <w:r>
        <w:rPr>
          <w:rFonts w:hint="eastAsia" w:ascii="仿宋" w:hAnsi="仿宋" w:eastAsia="仿宋" w:cs="仿宋"/>
          <w:lang w:val="en-US"/>
        </w:rPr>
        <w:t>单册成册出版，并配合招标人通过上级主管部门审批，成果要求包括但不限于如下要求:</w:t>
      </w:r>
    </w:p>
    <w:p w14:paraId="6127FF59">
      <w:pPr>
        <w:pStyle w:val="17"/>
        <w:ind w:firstLine="480"/>
        <w:rPr>
          <w:rFonts w:hint="eastAsia" w:ascii="仿宋" w:hAnsi="仿宋" w:eastAsia="仿宋" w:cs="仿宋"/>
          <w:lang w:val="en-US"/>
        </w:rPr>
      </w:pPr>
      <w:r>
        <w:rPr>
          <w:rFonts w:hint="eastAsia" w:ascii="仿宋" w:hAnsi="仿宋" w:eastAsia="仿宋" w:cs="仿宋"/>
          <w:lang w:val="en-US"/>
        </w:rPr>
        <w:t>在已经通过的可行性研究报告基础上，对项目进行初步设计</w:t>
      </w:r>
      <w:r>
        <w:rPr>
          <w:rFonts w:hint="eastAsia" w:ascii="仿宋" w:hAnsi="仿宋" w:eastAsia="仿宋" w:cs="仿宋"/>
          <w:lang w:val="en-US" w:eastAsia="zh-CN"/>
        </w:rPr>
        <w:t>、</w:t>
      </w:r>
      <w:r>
        <w:rPr>
          <w:rFonts w:hint="eastAsia" w:ascii="仿宋" w:hAnsi="仿宋" w:eastAsia="仿宋" w:cs="仿宋"/>
          <w:lang w:val="en-US"/>
        </w:rPr>
        <w:t>投资概算</w:t>
      </w:r>
      <w:r>
        <w:rPr>
          <w:rFonts w:hint="eastAsia" w:ascii="仿宋" w:hAnsi="仿宋" w:eastAsia="仿宋" w:cs="仿宋"/>
          <w:lang w:val="en-US" w:eastAsia="zh-CN"/>
        </w:rPr>
        <w:t>和密码应用方案</w:t>
      </w:r>
      <w:r>
        <w:rPr>
          <w:rFonts w:hint="eastAsia" w:ascii="仿宋" w:hAnsi="仿宋" w:eastAsia="仿宋" w:cs="仿宋"/>
          <w:lang w:val="en-US"/>
        </w:rPr>
        <w:t>的编制工作，进一步明确并细化项目建设需求、建设原则、建设目标、建设内容、实施方案、投资概算、风险及效益分析</w:t>
      </w:r>
      <w:r>
        <w:rPr>
          <w:rFonts w:hint="eastAsia" w:ascii="仿宋" w:hAnsi="仿宋" w:eastAsia="仿宋" w:cs="仿宋"/>
          <w:lang w:val="en-US" w:eastAsia="zh-CN"/>
        </w:rPr>
        <w:t>、密码应用</w:t>
      </w:r>
      <w:r>
        <w:rPr>
          <w:rFonts w:hint="eastAsia" w:ascii="仿宋" w:hAnsi="仿宋" w:eastAsia="仿宋" w:cs="仿宋"/>
          <w:lang w:val="en-US"/>
        </w:rPr>
        <w:t>等内容。</w:t>
      </w:r>
    </w:p>
    <w:p w14:paraId="462C75B1">
      <w:pPr>
        <w:pStyle w:val="17"/>
        <w:ind w:firstLine="480"/>
        <w:rPr>
          <w:rFonts w:hint="eastAsia" w:ascii="仿宋" w:hAnsi="仿宋" w:eastAsia="仿宋" w:cs="仿宋"/>
          <w:lang w:val="en-US"/>
        </w:rPr>
      </w:pPr>
      <w:r>
        <w:rPr>
          <w:rFonts w:hint="eastAsia" w:ascii="仿宋" w:hAnsi="仿宋" w:eastAsia="仿宋" w:cs="仿宋"/>
          <w:lang w:val="en-US"/>
        </w:rPr>
        <w:t>（1）项目概述</w:t>
      </w:r>
    </w:p>
    <w:p w14:paraId="7A2D1445">
      <w:pPr>
        <w:pStyle w:val="17"/>
        <w:ind w:firstLine="480"/>
        <w:rPr>
          <w:rFonts w:hint="eastAsia" w:ascii="仿宋" w:hAnsi="仿宋" w:eastAsia="仿宋" w:cs="仿宋"/>
          <w:lang w:val="en-US"/>
        </w:rPr>
      </w:pPr>
      <w:r>
        <w:rPr>
          <w:rFonts w:hint="eastAsia" w:ascii="仿宋" w:hAnsi="仿宋" w:eastAsia="仿宋" w:cs="仿宋"/>
          <w:lang w:val="en-US"/>
        </w:rPr>
        <w:t>项目基本概况论述，简要概括项目主要建设目标、建设规模、建设内容和建设计划工期；初步设计和概算编制依据：列举所依据的重要法律法规、文件、引用的国家标准和行业标准等名称及具体引用条款内容，并将其中必要的部分全文附后，作为报告的附件。</w:t>
      </w:r>
    </w:p>
    <w:p w14:paraId="129DDB05">
      <w:pPr>
        <w:pStyle w:val="17"/>
        <w:ind w:firstLine="480"/>
        <w:rPr>
          <w:rFonts w:hint="eastAsia" w:ascii="仿宋" w:hAnsi="仿宋" w:eastAsia="仿宋" w:cs="仿宋"/>
          <w:lang w:val="en-US"/>
        </w:rPr>
      </w:pPr>
      <w:r>
        <w:rPr>
          <w:rFonts w:hint="eastAsia" w:ascii="仿宋" w:hAnsi="仿宋" w:eastAsia="仿宋" w:cs="仿宋"/>
          <w:lang w:val="en-US"/>
        </w:rPr>
        <w:t>（2）需求分析</w:t>
      </w:r>
    </w:p>
    <w:p w14:paraId="2753AE77">
      <w:pPr>
        <w:pStyle w:val="17"/>
        <w:ind w:firstLine="480"/>
        <w:rPr>
          <w:rFonts w:hint="eastAsia" w:ascii="仿宋" w:hAnsi="仿宋" w:eastAsia="仿宋" w:cs="仿宋"/>
          <w:lang w:val="en-US"/>
        </w:rPr>
      </w:pPr>
      <w:r>
        <w:rPr>
          <w:rFonts w:hint="eastAsia" w:ascii="仿宋" w:hAnsi="仿宋" w:eastAsia="仿宋" w:cs="仿宋"/>
          <w:lang w:val="en-US"/>
        </w:rPr>
        <w:t>量化项目的系统功能指标、信息量指标、系统性能指标及明确项目建设的时空边界。</w:t>
      </w:r>
    </w:p>
    <w:p w14:paraId="4BD3E1F8">
      <w:pPr>
        <w:pStyle w:val="17"/>
        <w:ind w:firstLine="480"/>
        <w:rPr>
          <w:rFonts w:hint="eastAsia" w:ascii="仿宋" w:hAnsi="仿宋" w:eastAsia="仿宋" w:cs="仿宋"/>
          <w:lang w:val="en-US"/>
        </w:rPr>
      </w:pPr>
      <w:r>
        <w:rPr>
          <w:rFonts w:hint="eastAsia" w:ascii="仿宋" w:hAnsi="仿宋" w:eastAsia="仿宋" w:cs="仿宋"/>
          <w:lang w:val="en-US"/>
        </w:rPr>
        <w:t>（3）建设方案要求</w:t>
      </w:r>
    </w:p>
    <w:p w14:paraId="3BAAD5AF">
      <w:pPr>
        <w:pStyle w:val="17"/>
        <w:ind w:firstLine="480"/>
        <w:rPr>
          <w:rFonts w:hint="eastAsia" w:ascii="仿宋" w:hAnsi="仿宋" w:eastAsia="仿宋" w:cs="仿宋"/>
          <w:lang w:val="en-US"/>
        </w:rPr>
      </w:pPr>
      <w:r>
        <w:rPr>
          <w:rFonts w:hint="eastAsia" w:ascii="仿宋" w:hAnsi="仿宋" w:eastAsia="仿宋" w:cs="仿宋"/>
          <w:lang w:val="en-US"/>
        </w:rPr>
        <w:t>总体设计原则：阐述项目建设原则，并与本期项目设计方案一致；总体目标与子项目目标：阐述目标内容以及二者之间的关系、界线；各子项目建设内容：建设的步骤、次序要考虑充分，子项目的边界要清晰，启动一个、建设一个、验收一个，同一个子项目一次性做完；系统总体结构和逻辑结构：用文字、图、表等方式表示，要用文字、符号或颜色显著表明子项目与总体的界线和相互关系。</w:t>
      </w:r>
    </w:p>
    <w:p w14:paraId="2A4EA0C9">
      <w:pPr>
        <w:pStyle w:val="17"/>
        <w:ind w:firstLine="480"/>
        <w:rPr>
          <w:rFonts w:hint="eastAsia" w:ascii="仿宋" w:hAnsi="仿宋" w:eastAsia="仿宋" w:cs="仿宋"/>
          <w:lang w:val="en-US"/>
        </w:rPr>
      </w:pPr>
      <w:r>
        <w:rPr>
          <w:rFonts w:hint="eastAsia" w:ascii="仿宋" w:hAnsi="仿宋" w:eastAsia="仿宋" w:cs="仿宋"/>
          <w:lang w:val="en-US"/>
        </w:rPr>
        <w:t>（4）系统配置及软硬件选型原则</w:t>
      </w:r>
    </w:p>
    <w:p w14:paraId="643B4F64">
      <w:pPr>
        <w:pStyle w:val="17"/>
        <w:ind w:firstLine="480"/>
        <w:rPr>
          <w:rFonts w:hint="eastAsia" w:ascii="仿宋" w:hAnsi="仿宋" w:eastAsia="仿宋" w:cs="仿宋"/>
          <w:lang w:val="en-US"/>
        </w:rPr>
      </w:pPr>
      <w:r>
        <w:rPr>
          <w:rFonts w:hint="eastAsia" w:ascii="仿宋" w:hAnsi="仿宋" w:eastAsia="仿宋" w:cs="仿宋"/>
          <w:lang w:val="en-US"/>
        </w:rPr>
        <w:t>设计单位应对目前主流的信息化产品或平台进行初步的评估和比对，在此基础上提出软硬件设备的选型原则和标准。</w:t>
      </w:r>
    </w:p>
    <w:p w14:paraId="75DCAF1A">
      <w:pPr>
        <w:pStyle w:val="17"/>
        <w:ind w:firstLine="480"/>
        <w:rPr>
          <w:rFonts w:hint="eastAsia" w:ascii="仿宋" w:hAnsi="仿宋" w:eastAsia="仿宋" w:cs="仿宋"/>
          <w:lang w:val="en-US"/>
        </w:rPr>
      </w:pPr>
      <w:r>
        <w:rPr>
          <w:rFonts w:hint="eastAsia" w:ascii="仿宋" w:hAnsi="仿宋" w:eastAsia="仿宋" w:cs="仿宋"/>
          <w:lang w:val="en-US"/>
        </w:rPr>
        <w:t>（5）系统软硬件配置清单</w:t>
      </w:r>
    </w:p>
    <w:p w14:paraId="258D21FC">
      <w:pPr>
        <w:pStyle w:val="17"/>
        <w:ind w:firstLine="480"/>
        <w:rPr>
          <w:rFonts w:hint="eastAsia" w:ascii="仿宋" w:hAnsi="仿宋" w:eastAsia="仿宋" w:cs="仿宋"/>
          <w:lang w:val="en-US"/>
        </w:rPr>
      </w:pPr>
      <w:r>
        <w:rPr>
          <w:rFonts w:hint="eastAsia" w:ascii="仿宋" w:hAnsi="仿宋" w:eastAsia="仿宋" w:cs="仿宋"/>
          <w:lang w:val="en-US"/>
        </w:rPr>
        <w:t>给出总体软硬件的设备清单，包括设备的建设数量以及基础配置。</w:t>
      </w:r>
    </w:p>
    <w:p w14:paraId="1CEE24C6">
      <w:pPr>
        <w:pStyle w:val="17"/>
        <w:ind w:firstLine="480"/>
        <w:rPr>
          <w:rFonts w:hint="eastAsia" w:ascii="仿宋" w:hAnsi="仿宋" w:eastAsia="仿宋" w:cs="仿宋"/>
          <w:lang w:val="en-US"/>
        </w:rPr>
      </w:pPr>
      <w:r>
        <w:rPr>
          <w:rFonts w:hint="eastAsia" w:ascii="仿宋" w:hAnsi="仿宋" w:eastAsia="仿宋" w:cs="仿宋"/>
          <w:lang w:val="en-US"/>
        </w:rPr>
        <w:t>（6）系统软硬件部署方案</w:t>
      </w:r>
    </w:p>
    <w:p w14:paraId="5709471D">
      <w:pPr>
        <w:pStyle w:val="17"/>
        <w:ind w:firstLine="480"/>
        <w:rPr>
          <w:rFonts w:hint="eastAsia" w:ascii="仿宋" w:hAnsi="仿宋" w:eastAsia="仿宋" w:cs="仿宋"/>
          <w:lang w:val="en-US"/>
        </w:rPr>
      </w:pPr>
      <w:r>
        <w:rPr>
          <w:rFonts w:hint="eastAsia" w:ascii="仿宋" w:hAnsi="仿宋" w:eastAsia="仿宋" w:cs="仿宋"/>
          <w:lang w:val="en-US"/>
        </w:rPr>
        <w:t>从不同业务应用的需求出发，明确总体建设部署以及迁移的模式及策略。以上各项建设内容是在批复的可行性研究报告中所确定的技术方案基础上进一步细化和量化，其各自边界要明确，内在逻辑联系清晰，要具体体现设计原则和明显体现利用现有资源的内容。</w:t>
      </w:r>
    </w:p>
    <w:p w14:paraId="2F0ECC76">
      <w:pPr>
        <w:pStyle w:val="17"/>
        <w:ind w:firstLine="480"/>
        <w:rPr>
          <w:rFonts w:hint="eastAsia" w:ascii="仿宋" w:hAnsi="仿宋" w:eastAsia="仿宋" w:cs="仿宋"/>
          <w:lang w:val="en-US"/>
        </w:rPr>
      </w:pPr>
      <w:r>
        <w:rPr>
          <w:rFonts w:hint="eastAsia" w:ascii="仿宋" w:hAnsi="仿宋" w:eastAsia="仿宋" w:cs="仿宋"/>
          <w:lang w:val="en-US"/>
        </w:rPr>
        <w:t>（7）重点要求</w:t>
      </w:r>
    </w:p>
    <w:p w14:paraId="16543CB8">
      <w:pPr>
        <w:pStyle w:val="17"/>
        <w:ind w:firstLine="480"/>
        <w:rPr>
          <w:rFonts w:hint="eastAsia" w:ascii="仿宋" w:hAnsi="仿宋" w:eastAsia="仿宋" w:cs="仿宋"/>
          <w:lang w:val="en-US"/>
        </w:rPr>
      </w:pPr>
      <w:r>
        <w:rPr>
          <w:rFonts w:hint="eastAsia" w:ascii="仿宋" w:hAnsi="仿宋" w:eastAsia="仿宋" w:cs="仿宋"/>
          <w:lang w:val="en-US"/>
        </w:rPr>
        <w:t>要求设计单位在初步设计中对医院信息化整体建设思路提出合理化建议方案；要求设计单位在医院提出的建设思路的基础上，以科学态度、开放理念、适当超前思维和战略眼光，提升各子项目的规划水平，建成具备本地特色、省内一流、国内先进的医院信息化模式；要求设计单位在各子项目建设内容要求的基础上,需从顶层整体设计的高度出发，充分体现各模块间的有机整合，统一规划，充分利用资源，避免重复建设，并提出明确的合理化建议方案。</w:t>
      </w:r>
    </w:p>
    <w:p w14:paraId="524793D3">
      <w:pPr>
        <w:pStyle w:val="3"/>
        <w:numPr>
          <w:ilvl w:val="0"/>
          <w:numId w:val="5"/>
        </w:numPr>
        <w:tabs>
          <w:tab w:val="left" w:pos="709"/>
        </w:tabs>
        <w:rPr>
          <w:rFonts w:hint="eastAsia" w:ascii="仿宋" w:hAnsi="仿宋" w:eastAsia="仿宋" w:cs="仿宋"/>
          <w:sz w:val="24"/>
          <w:szCs w:val="24"/>
          <w:lang w:val="en-US"/>
        </w:rPr>
      </w:pPr>
      <w:r>
        <w:rPr>
          <w:rFonts w:hint="eastAsia" w:ascii="仿宋" w:hAnsi="仿宋" w:eastAsia="仿宋" w:cs="仿宋"/>
          <w:sz w:val="24"/>
          <w:szCs w:val="24"/>
          <w:lang w:val="en-US"/>
        </w:rPr>
        <w:t>质量保障要求</w:t>
      </w:r>
    </w:p>
    <w:p w14:paraId="28F032B6">
      <w:pPr>
        <w:spacing w:line="360" w:lineRule="auto"/>
        <w:ind w:firstLine="480" w:firstLineChars="200"/>
        <w:rPr>
          <w:rFonts w:hint="eastAsia" w:ascii="仿宋" w:hAnsi="仿宋" w:eastAsia="仿宋" w:cs="仿宋"/>
          <w:sz w:val="24"/>
        </w:rPr>
      </w:pPr>
      <w:r>
        <w:rPr>
          <w:rFonts w:hint="eastAsia" w:ascii="仿宋" w:hAnsi="仿宋" w:eastAsia="仿宋" w:cs="仿宋"/>
          <w:sz w:val="24"/>
        </w:rPr>
        <w:t>（1）设计服务需保证整个项目进程中，所有过程应严格遵照国家或国际的行业或工业标准与规范，所有引用或涉及的规范和标准均应为最新版本。并提供良好的项目进度管理和质量保证机制，确保项目在规定的时间内，按照用户需求，完成全部规定任务。</w:t>
      </w:r>
    </w:p>
    <w:p w14:paraId="31AE6B6A">
      <w:pPr>
        <w:spacing w:line="360" w:lineRule="auto"/>
        <w:ind w:firstLine="480" w:firstLineChars="200"/>
        <w:rPr>
          <w:rFonts w:hint="eastAsia" w:ascii="仿宋" w:hAnsi="仿宋" w:eastAsia="仿宋" w:cs="仿宋"/>
          <w:sz w:val="24"/>
        </w:rPr>
      </w:pPr>
      <w:r>
        <w:rPr>
          <w:rFonts w:hint="eastAsia" w:ascii="仿宋" w:hAnsi="仿宋" w:eastAsia="仿宋" w:cs="仿宋"/>
          <w:sz w:val="24"/>
        </w:rPr>
        <w:t>(2)除应按照项目实施进度及时提交项目成果交付物外，还应按照项目进度提交项目实施管理文件档，包括实施计划、进度报告、培训计划、培训记录、例会记录以及采购人认为必要的其他文档。项目成果交付物至少应包括内容详实完整电子文档和相应的纸质文档。</w:t>
      </w:r>
    </w:p>
    <w:p w14:paraId="64B4AE44">
      <w:pPr>
        <w:pStyle w:val="3"/>
        <w:numPr>
          <w:ilvl w:val="0"/>
          <w:numId w:val="5"/>
        </w:numPr>
        <w:tabs>
          <w:tab w:val="left" w:pos="709"/>
        </w:tabs>
        <w:rPr>
          <w:rFonts w:hint="eastAsia" w:ascii="仿宋" w:hAnsi="仿宋" w:eastAsia="仿宋" w:cs="仿宋"/>
          <w:sz w:val="24"/>
          <w:szCs w:val="24"/>
          <w:lang w:val="en-US"/>
        </w:rPr>
      </w:pPr>
      <w:r>
        <w:rPr>
          <w:rFonts w:hint="eastAsia" w:ascii="仿宋" w:hAnsi="仿宋" w:eastAsia="仿宋" w:cs="仿宋"/>
          <w:sz w:val="24"/>
          <w:szCs w:val="24"/>
          <w:lang w:val="en-US"/>
        </w:rPr>
        <w:t>信息安全保障要求</w:t>
      </w:r>
    </w:p>
    <w:p w14:paraId="65D58A6E">
      <w:pPr>
        <w:numPr>
          <w:ilvl w:val="0"/>
          <w:numId w:val="6"/>
        </w:numPr>
        <w:spacing w:line="360" w:lineRule="auto"/>
        <w:ind w:firstLine="480" w:firstLineChars="200"/>
        <w:rPr>
          <w:rFonts w:hint="eastAsia" w:ascii="仿宋" w:hAnsi="仿宋" w:eastAsia="仿宋" w:cs="仿宋"/>
          <w:sz w:val="24"/>
        </w:rPr>
      </w:pPr>
      <w:r>
        <w:rPr>
          <w:rFonts w:hint="eastAsia" w:ascii="仿宋" w:hAnsi="仿宋" w:eastAsia="仿宋" w:cs="仿宋"/>
          <w:sz w:val="24"/>
        </w:rPr>
        <w:t>设计服务单位信息安全保障体系</w:t>
      </w:r>
    </w:p>
    <w:p w14:paraId="17EF2C6C">
      <w:pPr>
        <w:wordWrap w:val="0"/>
        <w:spacing w:line="360" w:lineRule="auto"/>
        <w:ind w:firstLine="480" w:firstLineChars="200"/>
        <w:rPr>
          <w:rFonts w:hint="eastAsia" w:ascii="仿宋" w:hAnsi="仿宋" w:eastAsia="仿宋" w:cs="仿宋"/>
          <w:sz w:val="24"/>
        </w:rPr>
      </w:pPr>
      <w:r>
        <w:rPr>
          <w:rFonts w:hint="eastAsia" w:ascii="仿宋" w:hAnsi="仿宋" w:eastAsia="仿宋" w:cs="仿宋"/>
          <w:sz w:val="24"/>
        </w:rPr>
        <w:t>（1）ISO9001质量管理体系认证证书（认证范围需包含：通信网络规划设计:信息技术咨询:应用软件设计）；</w:t>
      </w:r>
    </w:p>
    <w:p w14:paraId="6A14247D">
      <w:pPr>
        <w:wordWrap w:val="0"/>
        <w:spacing w:line="360" w:lineRule="auto"/>
        <w:ind w:firstLine="480" w:firstLineChars="200"/>
        <w:rPr>
          <w:rFonts w:hint="eastAsia" w:ascii="仿宋" w:hAnsi="仿宋" w:eastAsia="仿宋" w:cs="仿宋"/>
          <w:sz w:val="24"/>
        </w:rPr>
      </w:pPr>
      <w:r>
        <w:rPr>
          <w:rFonts w:hint="eastAsia" w:ascii="仿宋" w:hAnsi="仿宋" w:eastAsia="仿宋" w:cs="仿宋"/>
          <w:sz w:val="24"/>
        </w:rPr>
        <w:t>（2）ISO14001环境管理体系认证证书（认证范围需范围需包含：通信网络规划设计:信息技术咨询:应用软件设计）；</w:t>
      </w:r>
    </w:p>
    <w:p w14:paraId="1F872344">
      <w:pPr>
        <w:wordWrap w:val="0"/>
        <w:spacing w:line="360" w:lineRule="auto"/>
        <w:ind w:firstLine="480" w:firstLineChars="200"/>
        <w:rPr>
          <w:rFonts w:hint="eastAsia" w:ascii="仿宋" w:hAnsi="仿宋" w:eastAsia="仿宋" w:cs="仿宋"/>
          <w:sz w:val="24"/>
        </w:rPr>
      </w:pPr>
      <w:r>
        <w:rPr>
          <w:rFonts w:hint="eastAsia" w:ascii="仿宋" w:hAnsi="仿宋" w:eastAsia="仿宋" w:cs="仿宋"/>
          <w:sz w:val="24"/>
        </w:rPr>
        <w:t>（3）ISO45001职业健康安全管理体系认证证书（认证范围需包含：通信网络规划设计:信息技术咨询:应用软件设计）；</w:t>
      </w:r>
    </w:p>
    <w:p w14:paraId="44A087B7">
      <w:pPr>
        <w:wordWrap w:val="0"/>
        <w:spacing w:line="360" w:lineRule="auto"/>
        <w:ind w:firstLine="480" w:firstLineChars="200"/>
        <w:rPr>
          <w:rFonts w:hint="eastAsia" w:ascii="仿宋" w:hAnsi="仿宋" w:eastAsia="仿宋" w:cs="仿宋"/>
          <w:sz w:val="24"/>
        </w:rPr>
      </w:pPr>
      <w:r>
        <w:rPr>
          <w:rFonts w:hint="eastAsia" w:ascii="仿宋" w:hAnsi="仿宋" w:eastAsia="仿宋" w:cs="仿宋"/>
          <w:sz w:val="24"/>
        </w:rPr>
        <w:t>（4）ISO20000</w:t>
      </w:r>
      <w:r>
        <w:rPr>
          <w:rFonts w:hint="eastAsia" w:ascii="仿宋" w:hAnsi="仿宋" w:eastAsia="仿宋" w:cs="仿宋"/>
          <w:sz w:val="24"/>
          <w:lang w:val="en-US" w:eastAsia="zh-CN"/>
        </w:rPr>
        <w:t>-1信息技术</w:t>
      </w:r>
      <w:r>
        <w:rPr>
          <w:rFonts w:hint="eastAsia" w:ascii="仿宋" w:hAnsi="仿宋" w:eastAsia="仿宋" w:cs="仿宋"/>
          <w:sz w:val="24"/>
        </w:rPr>
        <w:t>服务管理体系认证证书（认证范围需范围需包含：通信及信息化软件开发服务相关的信息技术服务）；</w:t>
      </w:r>
    </w:p>
    <w:p w14:paraId="76C69DE3">
      <w:pPr>
        <w:wordWrap w:val="0"/>
        <w:spacing w:line="360" w:lineRule="auto"/>
        <w:ind w:firstLine="480" w:firstLineChars="200"/>
        <w:rPr>
          <w:rFonts w:hint="eastAsia" w:ascii="仿宋" w:hAnsi="仿宋" w:eastAsia="仿宋" w:cs="仿宋"/>
          <w:sz w:val="24"/>
        </w:rPr>
      </w:pPr>
      <w:r>
        <w:rPr>
          <w:rFonts w:hint="eastAsia" w:ascii="仿宋" w:hAnsi="仿宋" w:eastAsia="仿宋" w:cs="仿宋"/>
          <w:sz w:val="24"/>
        </w:rPr>
        <w:t>（5）ISO27001信息安全管理体系认证证书（认证范围需范围需包含：信息技术咨询</w:t>
      </w:r>
      <w:r>
        <w:rPr>
          <w:rFonts w:hint="eastAsia" w:ascii="仿宋" w:hAnsi="仿宋" w:eastAsia="仿宋" w:cs="仿宋"/>
          <w:sz w:val="24"/>
          <w:lang w:eastAsia="zh-CN"/>
        </w:rPr>
        <w:t>、应用软件开发及服务</w:t>
      </w:r>
      <w:r>
        <w:rPr>
          <w:rFonts w:hint="eastAsia" w:ascii="仿宋" w:hAnsi="仿宋" w:eastAsia="仿宋" w:cs="仿宋"/>
          <w:sz w:val="24"/>
        </w:rPr>
        <w:t>）；</w:t>
      </w:r>
    </w:p>
    <w:p w14:paraId="266F90C9">
      <w:pPr>
        <w:wordWrap w:val="0"/>
        <w:spacing w:line="360" w:lineRule="auto"/>
        <w:ind w:firstLine="480" w:firstLineChars="200"/>
        <w:rPr>
          <w:rFonts w:hint="eastAsia" w:ascii="仿宋" w:hAnsi="仿宋" w:eastAsia="仿宋" w:cs="仿宋"/>
          <w:sz w:val="24"/>
        </w:rPr>
      </w:pPr>
      <w:r>
        <w:rPr>
          <w:rFonts w:hint="eastAsia" w:ascii="仿宋" w:hAnsi="仿宋" w:eastAsia="仿宋" w:cs="仿宋"/>
          <w:sz w:val="24"/>
        </w:rPr>
        <w:t>（6）GB/T29490知识产权管理体系认证证书（认证范围需范围需包含：计算机应用软件、云计算软件、通信应用软件的开发）；注：提供有效期内的证书扫描件或在全国认证认可信息公共服务平台（http://cx.cnca.cn/）对体系证书的信息查询截图。；</w:t>
      </w:r>
    </w:p>
    <w:p w14:paraId="63FA98BB">
      <w:pPr>
        <w:numPr>
          <w:ilvl w:val="0"/>
          <w:numId w:val="6"/>
        </w:numPr>
        <w:wordWrap w:val="0"/>
        <w:spacing w:line="360" w:lineRule="auto"/>
        <w:ind w:firstLine="480" w:firstLineChars="200"/>
        <w:rPr>
          <w:rFonts w:hint="eastAsia" w:ascii="仿宋" w:hAnsi="仿宋" w:eastAsia="仿宋" w:cs="仿宋"/>
          <w:sz w:val="24"/>
        </w:rPr>
      </w:pPr>
      <w:r>
        <w:rPr>
          <w:rFonts w:hint="eastAsia" w:ascii="仿宋" w:hAnsi="仿宋" w:eastAsia="仿宋" w:cs="仿宋"/>
          <w:sz w:val="24"/>
        </w:rPr>
        <w:t>设计服务保密要求</w:t>
      </w:r>
    </w:p>
    <w:p w14:paraId="6AD0435B">
      <w:pPr>
        <w:tabs>
          <w:tab w:val="left" w:pos="2880"/>
        </w:tabs>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（1）设计单位应对建设项目的设计方案、施工方案以及所有施工过程资料和信息负有保密责任，未经用户许可不能外泄。</w:t>
      </w:r>
    </w:p>
    <w:p w14:paraId="1B9CDD31">
      <w:pPr>
        <w:tabs>
          <w:tab w:val="left" w:pos="2880"/>
        </w:tabs>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（2）按照国家、市的有关法规文件规定，要求履行保密责任，并与建设单位签订保密协议；</w:t>
      </w:r>
    </w:p>
    <w:p w14:paraId="512ACF25">
      <w:pPr>
        <w:tabs>
          <w:tab w:val="left" w:pos="2880"/>
        </w:tabs>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（3）设计单位各级组织严格履行保密职责；</w:t>
      </w:r>
    </w:p>
    <w:p w14:paraId="4887A78C">
      <w:pPr>
        <w:tabs>
          <w:tab w:val="left" w:pos="2880"/>
        </w:tabs>
        <w:spacing w:line="360" w:lineRule="auto"/>
        <w:ind w:firstLine="480" w:firstLineChars="200"/>
        <w:jc w:val="left"/>
      </w:pPr>
      <w:r>
        <w:rPr>
          <w:rFonts w:hint="eastAsia" w:ascii="仿宋" w:hAnsi="仿宋" w:eastAsia="仿宋" w:cs="仿宋"/>
          <w:bCs/>
          <w:sz w:val="24"/>
        </w:rPr>
        <w:t>（4）按照保密规定开展设计工作。</w:t>
      </w:r>
    </w:p>
    <w:p w14:paraId="477BAC34">
      <w:pPr>
        <w:pStyle w:val="3"/>
        <w:numPr>
          <w:ilvl w:val="0"/>
          <w:numId w:val="5"/>
        </w:numPr>
        <w:tabs>
          <w:tab w:val="left" w:pos="709"/>
        </w:tabs>
        <w:rPr>
          <w:rFonts w:hint="eastAsia" w:ascii="仿宋" w:hAnsi="仿宋" w:eastAsia="仿宋" w:cs="仿宋"/>
          <w:sz w:val="24"/>
          <w:szCs w:val="24"/>
          <w:lang w:val="en-US"/>
        </w:rPr>
      </w:pPr>
      <w:r>
        <w:rPr>
          <w:rFonts w:hint="eastAsia" w:ascii="仿宋" w:hAnsi="仿宋" w:eastAsia="仿宋" w:cs="仿宋"/>
          <w:sz w:val="24"/>
          <w:szCs w:val="24"/>
          <w:lang w:val="en-US"/>
        </w:rPr>
        <w:t>版权要求</w:t>
      </w:r>
    </w:p>
    <w:p w14:paraId="0BEB40F3">
      <w:pPr>
        <w:pStyle w:val="18"/>
        <w:autoSpaceDE w:val="0"/>
        <w:autoSpaceDN w:val="0"/>
        <w:spacing w:line="360" w:lineRule="auto"/>
        <w:ind w:firstLine="480"/>
        <w:rPr>
          <w:rFonts w:hint="eastAsia" w:ascii="仿宋" w:hAnsi="仿宋" w:eastAsia="仿宋" w:cs="仿宋"/>
          <w:sz w:val="24"/>
        </w:rPr>
      </w:pPr>
      <w:r>
        <w:rPr>
          <w:rFonts w:hint="eastAsia" w:ascii="仿宋" w:hAnsi="仿宋" w:eastAsia="仿宋" w:cs="仿宋"/>
          <w:sz w:val="24"/>
        </w:rPr>
        <w:t>保证本项目成果及所使用到资源的版权合法性， 本项目成果的所有权及版权归惠州市</w:t>
      </w:r>
      <w:r>
        <w:rPr>
          <w:rFonts w:hint="eastAsia" w:ascii="仿宋" w:hAnsi="仿宋" w:eastAsia="仿宋" w:cs="仿宋"/>
          <w:sz w:val="24"/>
          <w:lang w:val="en-US" w:eastAsia="zh-CN"/>
        </w:rPr>
        <w:t>职业病防治院和惠州市皮肤病防治研究所</w:t>
      </w:r>
      <w:r>
        <w:rPr>
          <w:rFonts w:hint="eastAsia" w:ascii="仿宋" w:hAnsi="仿宋" w:eastAsia="仿宋" w:cs="仿宋"/>
          <w:sz w:val="24"/>
        </w:rPr>
        <w:t>所有。未经许可，不得在本项目以外使用。</w:t>
      </w:r>
    </w:p>
    <w:p w14:paraId="3AC2E29C">
      <w:pPr>
        <w:pStyle w:val="3"/>
        <w:numPr>
          <w:ilvl w:val="0"/>
          <w:numId w:val="5"/>
        </w:numPr>
        <w:tabs>
          <w:tab w:val="left" w:pos="709"/>
        </w:tabs>
        <w:rPr>
          <w:rFonts w:hint="eastAsia" w:ascii="仿宋" w:hAnsi="仿宋" w:eastAsia="仿宋" w:cs="仿宋"/>
          <w:sz w:val="24"/>
          <w:szCs w:val="24"/>
        </w:rPr>
      </w:pPr>
      <w:r>
        <w:rPr>
          <w:rFonts w:hint="eastAsia" w:ascii="仿宋" w:hAnsi="仿宋" w:eastAsia="仿宋" w:cs="仿宋"/>
          <w:sz w:val="24"/>
          <w:szCs w:val="24"/>
        </w:rPr>
        <w:t>提交要求</w:t>
      </w:r>
    </w:p>
    <w:p w14:paraId="7CA19744">
      <w:pPr>
        <w:tabs>
          <w:tab w:val="left" w:pos="2880"/>
        </w:tabs>
        <w:spacing w:line="360" w:lineRule="auto"/>
        <w:ind w:firstLine="480" w:firstLineChars="200"/>
        <w:jc w:val="left"/>
        <w:rPr>
          <w:rFonts w:hint="eastAsia" w:ascii="仿宋" w:hAnsi="仿宋" w:eastAsia="仿宋" w:cs="宋体"/>
          <w:bCs/>
          <w:sz w:val="24"/>
        </w:rPr>
      </w:pPr>
      <w:r>
        <w:rPr>
          <w:rFonts w:hint="eastAsia" w:ascii="仿宋" w:hAnsi="仿宋" w:eastAsia="仿宋" w:cs="宋体"/>
          <w:bCs/>
          <w:sz w:val="24"/>
        </w:rPr>
        <w:t>包括设计文本、汇报PPT文件、电子文档（提供含有全部设计文件的光盘各两套，说明文本采用兼容Microsoft  Office 2003以上版本)。</w:t>
      </w:r>
    </w:p>
    <w:p w14:paraId="225299EC">
      <w:pPr>
        <w:pStyle w:val="3"/>
        <w:numPr>
          <w:ilvl w:val="0"/>
          <w:numId w:val="5"/>
        </w:numPr>
        <w:tabs>
          <w:tab w:val="left" w:pos="709"/>
        </w:tabs>
        <w:rPr>
          <w:rFonts w:hint="eastAsia" w:ascii="仿宋" w:hAnsi="仿宋" w:eastAsia="仿宋" w:cs="仿宋"/>
          <w:sz w:val="24"/>
          <w:szCs w:val="24"/>
        </w:rPr>
      </w:pPr>
      <w:r>
        <w:rPr>
          <w:rFonts w:hint="eastAsia" w:ascii="仿宋" w:hAnsi="仿宋" w:eastAsia="仿宋" w:cs="仿宋"/>
          <w:sz w:val="24"/>
          <w:szCs w:val="24"/>
        </w:rPr>
        <w:t>验收标准</w:t>
      </w:r>
    </w:p>
    <w:p w14:paraId="2371D953">
      <w:pPr>
        <w:tabs>
          <w:tab w:val="left" w:pos="2880"/>
        </w:tabs>
        <w:spacing w:line="360" w:lineRule="auto"/>
        <w:ind w:firstLine="480" w:firstLineChars="200"/>
        <w:jc w:val="left"/>
        <w:rPr>
          <w:rFonts w:hint="eastAsia" w:ascii="仿宋" w:hAnsi="仿宋" w:eastAsia="仿宋" w:cs="宋体"/>
          <w:bCs/>
          <w:sz w:val="24"/>
        </w:rPr>
      </w:pPr>
      <w:r>
        <w:rPr>
          <w:rFonts w:hint="eastAsia" w:ascii="仿宋" w:hAnsi="仿宋" w:eastAsia="仿宋" w:cs="宋体"/>
          <w:bCs/>
          <w:sz w:val="24"/>
        </w:rPr>
        <w:t>（1）符合相关行业相关规定、技术规范、标准、规程以及要求；</w:t>
      </w:r>
    </w:p>
    <w:p w14:paraId="53441498">
      <w:pPr>
        <w:tabs>
          <w:tab w:val="left" w:pos="2880"/>
        </w:tabs>
        <w:spacing w:line="360" w:lineRule="auto"/>
        <w:ind w:firstLine="480" w:firstLineChars="200"/>
        <w:jc w:val="left"/>
        <w:rPr>
          <w:rFonts w:hint="eastAsia" w:ascii="仿宋" w:hAnsi="仿宋" w:eastAsia="仿宋" w:cs="仿宋"/>
          <w:b/>
          <w:sz w:val="24"/>
        </w:rPr>
      </w:pPr>
      <w:r>
        <w:rPr>
          <w:rFonts w:hint="eastAsia" w:ascii="仿宋" w:hAnsi="仿宋" w:eastAsia="仿宋" w:cs="宋体"/>
          <w:bCs/>
          <w:sz w:val="24"/>
        </w:rPr>
        <w:t>（2）</w:t>
      </w:r>
      <w:bookmarkStart w:id="16" w:name="OLE_LINK8"/>
      <w:r>
        <w:rPr>
          <w:rFonts w:hint="eastAsia" w:ascii="仿宋" w:hAnsi="仿宋" w:eastAsia="仿宋" w:cs="仿宋"/>
          <w:kern w:val="0"/>
          <w:sz w:val="24"/>
        </w:rPr>
        <w:t>惠州市省级区域职业病防治中心（市职防院、市皮肤病医院）</w:t>
      </w:r>
      <w:r>
        <w:rPr>
          <w:rFonts w:hint="eastAsia" w:ascii="仿宋" w:hAnsi="仿宋" w:eastAsia="仿宋" w:cs="仿宋"/>
          <w:kern w:val="0"/>
          <w:sz w:val="24"/>
          <w:lang w:val="en-US" w:eastAsia="zh-CN"/>
        </w:rPr>
        <w:t>信息化</w:t>
      </w:r>
      <w:r>
        <w:rPr>
          <w:rFonts w:hint="eastAsia" w:ascii="仿宋" w:hAnsi="仿宋" w:eastAsia="仿宋" w:cs="仿宋"/>
          <w:kern w:val="0"/>
          <w:sz w:val="24"/>
        </w:rPr>
        <w:t>设计服务项目</w:t>
      </w:r>
      <w:bookmarkEnd w:id="16"/>
      <w:r>
        <w:rPr>
          <w:rFonts w:hint="eastAsia" w:ascii="仿宋" w:hAnsi="仿宋" w:eastAsia="仿宋" w:cs="宋体"/>
          <w:bCs/>
          <w:sz w:val="24"/>
        </w:rPr>
        <w:t>完成项目实施主体招标采购工作后，项目通过验收。</w:t>
      </w:r>
    </w:p>
    <w:p w14:paraId="18D3E3CA">
      <w:pPr>
        <w:pStyle w:val="2"/>
        <w:numPr>
          <w:ilvl w:val="0"/>
          <w:numId w:val="3"/>
        </w:numPr>
        <w:rPr>
          <w:rFonts w:hint="eastAsia" w:ascii="仿宋" w:hAnsi="仿宋" w:eastAsia="仿宋" w:cs="仿宋"/>
          <w:sz w:val="28"/>
          <w:szCs w:val="28"/>
        </w:rPr>
      </w:pPr>
      <w:r>
        <w:rPr>
          <w:rFonts w:hint="eastAsia" w:ascii="仿宋" w:hAnsi="仿宋" w:eastAsia="仿宋" w:cs="仿宋"/>
          <w:sz w:val="28"/>
          <w:szCs w:val="28"/>
        </w:rPr>
        <w:t>采购项目商务要求</w:t>
      </w:r>
    </w:p>
    <w:p w14:paraId="2D275330">
      <w:pPr>
        <w:pStyle w:val="3"/>
        <w:numPr>
          <w:ilvl w:val="0"/>
          <w:numId w:val="7"/>
        </w:numPr>
        <w:rPr>
          <w:rFonts w:hint="eastAsia" w:ascii="仿宋" w:hAnsi="仿宋" w:eastAsia="仿宋" w:cs="仿宋"/>
          <w:sz w:val="24"/>
          <w:szCs w:val="24"/>
        </w:rPr>
      </w:pPr>
      <w:r>
        <w:rPr>
          <w:rFonts w:hint="eastAsia" w:ascii="仿宋" w:hAnsi="仿宋" w:eastAsia="仿宋" w:cs="仿宋"/>
          <w:sz w:val="24"/>
          <w:szCs w:val="24"/>
        </w:rPr>
        <w:t>服务期</w:t>
      </w:r>
    </w:p>
    <w:p w14:paraId="5FDFB0A9">
      <w:pPr>
        <w:spacing w:line="440" w:lineRule="exact"/>
        <w:ind w:firstLine="720" w:firstLineChars="300"/>
        <w:rPr>
          <w:rFonts w:hint="eastAsia" w:ascii="仿宋" w:hAnsi="仿宋" w:eastAsia="仿宋" w:cs="仿宋"/>
          <w:sz w:val="24"/>
        </w:rPr>
      </w:pPr>
      <w:r>
        <w:rPr>
          <w:rFonts w:hint="eastAsia" w:ascii="仿宋" w:hAnsi="仿宋" w:eastAsia="仿宋" w:cs="仿宋"/>
          <w:sz w:val="24"/>
        </w:rPr>
        <w:t>从本项目合同签订之日起至本设计服务项目通过最终验收之日止。</w:t>
      </w:r>
    </w:p>
    <w:p w14:paraId="1005BA84">
      <w:pPr>
        <w:pStyle w:val="3"/>
        <w:numPr>
          <w:ilvl w:val="0"/>
          <w:numId w:val="7"/>
        </w:numPr>
        <w:rPr>
          <w:rFonts w:hint="eastAsia" w:ascii="仿宋" w:hAnsi="仿宋" w:eastAsia="仿宋" w:cs="仿宋"/>
          <w:sz w:val="24"/>
          <w:szCs w:val="24"/>
        </w:rPr>
      </w:pPr>
      <w:r>
        <w:rPr>
          <w:rFonts w:hint="eastAsia" w:ascii="仿宋" w:hAnsi="仿宋" w:eastAsia="仿宋" w:cs="仿宋"/>
          <w:sz w:val="24"/>
          <w:szCs w:val="24"/>
        </w:rPr>
        <w:t>项目预算</w:t>
      </w:r>
    </w:p>
    <w:p w14:paraId="228C2D45">
      <w:pPr>
        <w:pStyle w:val="12"/>
        <w:spacing w:line="360" w:lineRule="auto"/>
        <w:ind w:left="420" w:leftChars="200" w:firstLine="480" w:firstLineChars="200"/>
        <w:rPr>
          <w:rFonts w:hint="eastAsia" w:ascii="仿宋" w:hAnsi="仿宋" w:eastAsia="仿宋" w:cs="仿宋"/>
          <w:sz w:val="24"/>
          <w:highlight w:val="none"/>
        </w:rPr>
      </w:pPr>
      <w:r>
        <w:rPr>
          <w:rFonts w:hint="eastAsia" w:ascii="仿宋" w:hAnsi="仿宋" w:eastAsia="仿宋" w:cs="仿宋"/>
          <w:sz w:val="24"/>
        </w:rPr>
        <w:t>该项目设计</w:t>
      </w:r>
      <w:r>
        <w:rPr>
          <w:rFonts w:hint="eastAsia" w:ascii="仿宋" w:hAnsi="仿宋" w:eastAsia="仿宋" w:cs="仿宋"/>
          <w:sz w:val="24"/>
          <w:highlight w:val="none"/>
        </w:rPr>
        <w:t>咨询费用最高限价为</w:t>
      </w:r>
      <w:r>
        <w:rPr>
          <w:rFonts w:hint="eastAsia" w:ascii="仿宋" w:hAnsi="仿宋" w:eastAsia="仿宋" w:cs="仿宋"/>
          <w:sz w:val="24"/>
          <w:highlight w:val="none"/>
          <w:lang w:val="en-US" w:eastAsia="zh-CN"/>
        </w:rPr>
        <w:t>41.4</w:t>
      </w:r>
      <w:r>
        <w:rPr>
          <w:rFonts w:hint="eastAsia" w:ascii="仿宋" w:hAnsi="仿宋" w:eastAsia="仿宋" w:cs="仿宋"/>
          <w:sz w:val="24"/>
          <w:highlight w:val="none"/>
        </w:rPr>
        <w:t>万元。该金额作为本项目在拟定费用的上限。</w:t>
      </w:r>
    </w:p>
    <w:p w14:paraId="58FB3B70">
      <w:pPr>
        <w:pStyle w:val="12"/>
        <w:spacing w:line="360" w:lineRule="auto"/>
        <w:ind w:firstLine="482"/>
        <w:rPr>
          <w:rFonts w:hint="eastAsia" w:ascii="仿宋" w:hAnsi="仿宋" w:eastAsia="仿宋" w:cs="仿宋"/>
          <w:sz w:val="24"/>
        </w:rPr>
      </w:pPr>
      <w:r>
        <w:rPr>
          <w:rFonts w:hint="eastAsia" w:ascii="仿宋" w:hAnsi="仿宋" w:eastAsia="仿宋" w:cs="仿宋"/>
          <w:b/>
          <w:sz w:val="24"/>
        </w:rPr>
        <w:t>最终项目投资费用以政府批复的项目投资额为准，咨询设计最终费用再根据政府批复的项目投资额和</w:t>
      </w:r>
      <w:r>
        <w:rPr>
          <w:rFonts w:hint="eastAsia" w:ascii="仿宋" w:hAnsi="仿宋" w:eastAsia="仿宋" w:cs="仿宋"/>
          <w:b/>
          <w:sz w:val="24"/>
          <w:lang w:val="en-US" w:eastAsia="zh-CN"/>
        </w:rPr>
        <w:t>招投标结果</w:t>
      </w:r>
      <w:r>
        <w:rPr>
          <w:rFonts w:hint="eastAsia" w:ascii="仿宋" w:hAnsi="仿宋" w:eastAsia="仿宋" w:cs="仿宋"/>
          <w:b/>
          <w:sz w:val="24"/>
        </w:rPr>
        <w:t>的方式确定。</w:t>
      </w:r>
    </w:p>
    <w:p w14:paraId="7AADEB5F">
      <w:pPr>
        <w:pStyle w:val="3"/>
        <w:numPr>
          <w:ilvl w:val="0"/>
          <w:numId w:val="7"/>
        </w:numPr>
        <w:rPr>
          <w:rFonts w:hint="eastAsia" w:ascii="仿宋" w:hAnsi="仿宋" w:eastAsia="仿宋" w:cs="仿宋"/>
          <w:sz w:val="24"/>
          <w:szCs w:val="24"/>
        </w:rPr>
      </w:pPr>
      <w:r>
        <w:rPr>
          <w:rFonts w:hint="eastAsia" w:ascii="仿宋" w:hAnsi="仿宋" w:eastAsia="仿宋" w:cs="仿宋"/>
          <w:sz w:val="24"/>
          <w:szCs w:val="24"/>
        </w:rPr>
        <w:t>报价要求</w:t>
      </w:r>
    </w:p>
    <w:p w14:paraId="0E2DB1A0">
      <w:pPr>
        <w:spacing w:line="440" w:lineRule="exact"/>
        <w:ind w:firstLine="480" w:firstLineChars="200"/>
        <w:rPr>
          <w:rFonts w:hint="eastAsia" w:ascii="仿宋" w:hAnsi="仿宋" w:eastAsia="仿宋" w:cs="仿宋"/>
          <w:sz w:val="24"/>
        </w:rPr>
      </w:pPr>
      <w:r>
        <w:rPr>
          <w:rFonts w:hint="eastAsia" w:ascii="仿宋" w:hAnsi="仿宋" w:eastAsia="仿宋" w:cs="仿宋"/>
          <w:sz w:val="24"/>
        </w:rPr>
        <w:t>报价应为已经包括了本设计服务项目交付的所有费用，报价不得高于其预算价，报价高于预算价按投标无效处理。</w:t>
      </w:r>
    </w:p>
    <w:p w14:paraId="3310A800">
      <w:pPr>
        <w:pStyle w:val="3"/>
        <w:numPr>
          <w:ilvl w:val="0"/>
          <w:numId w:val="7"/>
        </w:numPr>
        <w:rPr>
          <w:rFonts w:hint="eastAsia" w:ascii="仿宋" w:hAnsi="仿宋" w:eastAsia="仿宋" w:cs="仿宋"/>
          <w:sz w:val="24"/>
          <w:szCs w:val="24"/>
        </w:rPr>
      </w:pPr>
      <w:r>
        <w:rPr>
          <w:rFonts w:hint="eastAsia" w:ascii="仿宋" w:hAnsi="仿宋" w:eastAsia="仿宋" w:cs="仿宋"/>
          <w:sz w:val="24"/>
          <w:szCs w:val="24"/>
        </w:rPr>
        <w:t>项目工期</w:t>
      </w:r>
    </w:p>
    <w:p w14:paraId="1356F6A8">
      <w:pPr>
        <w:tabs>
          <w:tab w:val="left" w:pos="2880"/>
        </w:tabs>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 xml:space="preserve">合同签订之日起30日内提交设计方案资料编制文档,并将全部成果交付采购人。设计跟踪及技术支持直至建设项目验收，并承担由此产生的全部等费用。    </w:t>
      </w:r>
    </w:p>
    <w:p w14:paraId="1961D675">
      <w:pPr>
        <w:tabs>
          <w:tab w:val="left" w:pos="2880"/>
        </w:tabs>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咨询设计工作贯彻整个</w:t>
      </w:r>
      <w:r>
        <w:rPr>
          <w:rFonts w:hint="eastAsia" w:ascii="仿宋" w:hAnsi="仿宋" w:eastAsia="仿宋" w:cs="仿宋"/>
          <w:kern w:val="0"/>
          <w:sz w:val="24"/>
        </w:rPr>
        <w:t>惠州市省级区域职业病防治中心（市职防院、市皮肤病医院）项目</w:t>
      </w:r>
      <w:r>
        <w:rPr>
          <w:rFonts w:hint="eastAsia" w:ascii="仿宋" w:hAnsi="仿宋" w:eastAsia="仿宋" w:cs="仿宋"/>
          <w:sz w:val="24"/>
        </w:rPr>
        <w:t>工期，预计</w:t>
      </w:r>
      <w:r>
        <w:rPr>
          <w:rFonts w:hint="eastAsia" w:ascii="仿宋" w:hAnsi="仿宋" w:eastAsia="仿宋" w:cs="仿宋"/>
          <w:sz w:val="24"/>
          <w:lang w:val="en-US" w:eastAsia="zh-CN"/>
        </w:rPr>
        <w:t>24</w:t>
      </w:r>
      <w:r>
        <w:rPr>
          <w:rFonts w:hint="eastAsia" w:ascii="仿宋" w:hAnsi="仿宋" w:eastAsia="仿宋" w:cs="仿宋"/>
          <w:sz w:val="24"/>
        </w:rPr>
        <w:t>个月。</w:t>
      </w:r>
    </w:p>
    <w:p w14:paraId="725219C6">
      <w:pPr>
        <w:pStyle w:val="3"/>
        <w:numPr>
          <w:ilvl w:val="0"/>
          <w:numId w:val="7"/>
        </w:numPr>
        <w:rPr>
          <w:rFonts w:hint="eastAsia" w:ascii="仿宋" w:hAnsi="仿宋" w:eastAsia="仿宋" w:cs="仿宋"/>
          <w:sz w:val="24"/>
          <w:szCs w:val="24"/>
        </w:rPr>
      </w:pPr>
      <w:r>
        <w:rPr>
          <w:rFonts w:hint="eastAsia" w:ascii="仿宋" w:hAnsi="仿宋" w:eastAsia="仿宋" w:cs="仿宋"/>
          <w:sz w:val="24"/>
          <w:szCs w:val="24"/>
        </w:rPr>
        <w:t>质保期</w:t>
      </w:r>
    </w:p>
    <w:p w14:paraId="0199FC14">
      <w:pPr>
        <w:spacing w:line="440" w:lineRule="exact"/>
        <w:ind w:firstLine="480" w:firstLineChars="200"/>
        <w:rPr>
          <w:rFonts w:hint="eastAsia" w:ascii="仿宋" w:hAnsi="仿宋" w:eastAsia="仿宋" w:cs="仿宋"/>
          <w:sz w:val="24"/>
        </w:rPr>
      </w:pPr>
      <w:r>
        <w:rPr>
          <w:rFonts w:hint="eastAsia" w:ascii="仿宋" w:hAnsi="仿宋" w:eastAsia="仿宋" w:cs="仿宋"/>
          <w:sz w:val="24"/>
        </w:rPr>
        <w:t>设计跟踪及技术支持直至建设项目验收，并承担由此产生的全部等费用。</w:t>
      </w:r>
    </w:p>
    <w:p w14:paraId="6C7A0412">
      <w:pPr>
        <w:pStyle w:val="3"/>
        <w:numPr>
          <w:ilvl w:val="0"/>
          <w:numId w:val="7"/>
        </w:numPr>
        <w:rPr>
          <w:rFonts w:hint="eastAsia" w:ascii="仿宋" w:hAnsi="仿宋" w:eastAsia="仿宋" w:cs="仿宋"/>
          <w:sz w:val="24"/>
          <w:szCs w:val="24"/>
        </w:rPr>
      </w:pPr>
      <w:r>
        <w:rPr>
          <w:rFonts w:hint="eastAsia" w:ascii="仿宋" w:hAnsi="仿宋" w:eastAsia="仿宋" w:cs="仿宋"/>
          <w:sz w:val="24"/>
          <w:szCs w:val="24"/>
        </w:rPr>
        <w:t>验收要求</w:t>
      </w:r>
    </w:p>
    <w:p w14:paraId="1AEBE391">
      <w:pPr>
        <w:spacing w:line="440" w:lineRule="exact"/>
        <w:ind w:firstLine="240" w:firstLineChars="100"/>
        <w:rPr>
          <w:rFonts w:hint="eastAsia" w:ascii="仿宋" w:hAnsi="仿宋" w:eastAsia="仿宋" w:cs="仿宋"/>
          <w:sz w:val="24"/>
        </w:rPr>
      </w:pPr>
      <w:r>
        <w:rPr>
          <w:rFonts w:hint="eastAsia" w:ascii="仿宋" w:hAnsi="仿宋" w:eastAsia="仿宋" w:cs="仿宋"/>
          <w:sz w:val="24"/>
        </w:rPr>
        <w:t>（1）验收前乙方应先进行自检，并以书面形式（含明细项目清单）通知甲方进行验收，验收标准参照国家规定及相关行业标准进行，验收合格后，双方在验收记录上签字；对验收不合格应由乙方返工、更换、重做，直到符合相关标准；如甲方有特殊要求的，乙方应按甲方的要求，实事求是地完成竣工验收的所有资料；</w:t>
      </w:r>
    </w:p>
    <w:p w14:paraId="4776C88B">
      <w:pPr>
        <w:spacing w:line="440" w:lineRule="exact"/>
        <w:ind w:firstLine="240" w:firstLineChars="100"/>
        <w:rPr>
          <w:rFonts w:hint="eastAsia" w:ascii="仿宋" w:hAnsi="仿宋" w:eastAsia="仿宋" w:cs="仿宋"/>
          <w:sz w:val="24"/>
        </w:rPr>
      </w:pPr>
      <w:r>
        <w:rPr>
          <w:rFonts w:hint="eastAsia" w:ascii="仿宋" w:hAnsi="仿宋" w:eastAsia="仿宋" w:cs="仿宋"/>
          <w:sz w:val="24"/>
        </w:rPr>
        <w:t>（2）乙方提交技术服务工作成果的形式：编制《</w:t>
      </w:r>
      <w:r>
        <w:rPr>
          <w:rFonts w:hint="eastAsia" w:ascii="仿宋" w:hAnsi="仿宋" w:eastAsia="仿宋" w:cs="仿宋"/>
          <w:kern w:val="0"/>
          <w:sz w:val="24"/>
        </w:rPr>
        <w:t>惠州市省级区域职业病防治中心（市职防院、市皮肤病医院）</w:t>
      </w:r>
      <w:r>
        <w:rPr>
          <w:rFonts w:hint="eastAsia" w:ascii="仿宋" w:hAnsi="仿宋" w:eastAsia="仿宋" w:cs="仿宋"/>
          <w:kern w:val="0"/>
          <w:sz w:val="24"/>
          <w:lang w:val="en-US" w:eastAsia="zh-CN"/>
        </w:rPr>
        <w:t>信息化</w:t>
      </w:r>
      <w:r>
        <w:rPr>
          <w:rFonts w:hint="eastAsia" w:ascii="仿宋" w:hAnsi="仿宋" w:eastAsia="仿宋" w:cs="仿宋"/>
          <w:kern w:val="0"/>
          <w:sz w:val="24"/>
        </w:rPr>
        <w:t>设计服务项目</w:t>
      </w:r>
      <w:r>
        <w:rPr>
          <w:rFonts w:hint="eastAsia" w:ascii="仿宋" w:hAnsi="仿宋" w:eastAsia="仿宋" w:cs="仿宋"/>
          <w:sz w:val="24"/>
        </w:rPr>
        <w:t>初步设计方案》(含系统设备材料清单、系统设计预算、深化设计图纸)</w:t>
      </w:r>
      <w:r>
        <w:rPr>
          <w:rFonts w:hint="eastAsia" w:ascii="仿宋" w:hAnsi="仿宋" w:eastAsia="仿宋" w:cs="仿宋"/>
          <w:sz w:val="24"/>
          <w:lang w:val="en-US" w:eastAsia="zh-CN"/>
        </w:rPr>
        <w:t>和《密码应用方案》，</w:t>
      </w:r>
      <w:r>
        <w:rPr>
          <w:rFonts w:hint="eastAsia" w:ascii="仿宋" w:hAnsi="仿宋" w:eastAsia="仿宋" w:cs="仿宋"/>
          <w:sz w:val="24"/>
        </w:rPr>
        <w:t>提交项目的成果文档。</w:t>
      </w:r>
    </w:p>
    <w:p w14:paraId="294C553D">
      <w:pPr>
        <w:spacing w:line="440" w:lineRule="exact"/>
        <w:ind w:firstLine="240" w:firstLineChars="100"/>
        <w:rPr>
          <w:rFonts w:hint="eastAsia" w:ascii="仿宋" w:hAnsi="仿宋" w:eastAsia="仿宋" w:cs="仿宋"/>
          <w:sz w:val="24"/>
        </w:rPr>
      </w:pPr>
      <w:r>
        <w:rPr>
          <w:rFonts w:hint="eastAsia" w:ascii="仿宋" w:hAnsi="仿宋" w:eastAsia="仿宋" w:cs="仿宋"/>
          <w:sz w:val="24"/>
        </w:rPr>
        <w:t>（3）验收标准：依据国家、工信部及地方等有关技术规范和标准进行评审验收。</w:t>
      </w:r>
    </w:p>
    <w:p w14:paraId="09F9E339">
      <w:pPr>
        <w:spacing w:line="440" w:lineRule="exact"/>
        <w:ind w:firstLine="240" w:firstLineChars="100"/>
        <w:rPr>
          <w:rFonts w:hint="eastAsia" w:ascii="仿宋" w:hAnsi="仿宋" w:eastAsia="仿宋" w:cs="仿宋"/>
          <w:sz w:val="24"/>
        </w:rPr>
      </w:pPr>
      <w:r>
        <w:rPr>
          <w:rFonts w:hint="eastAsia" w:ascii="仿宋" w:hAnsi="仿宋" w:eastAsia="仿宋" w:cs="仿宋"/>
          <w:sz w:val="24"/>
        </w:rPr>
        <w:t>（4）验收方法：承建方完成编制《</w:t>
      </w:r>
      <w:r>
        <w:rPr>
          <w:rFonts w:hint="eastAsia" w:ascii="仿宋" w:hAnsi="仿宋" w:eastAsia="仿宋" w:cs="仿宋"/>
          <w:kern w:val="0"/>
          <w:sz w:val="24"/>
        </w:rPr>
        <w:t>惠州市省级区域职业病防治中心（市职防院、市皮肤病医院）</w:t>
      </w:r>
      <w:r>
        <w:rPr>
          <w:rFonts w:hint="eastAsia" w:ascii="仿宋" w:hAnsi="仿宋" w:eastAsia="仿宋" w:cs="仿宋"/>
          <w:kern w:val="0"/>
          <w:sz w:val="24"/>
          <w:lang w:val="en-US" w:eastAsia="zh-CN"/>
        </w:rPr>
        <w:t>信息化</w:t>
      </w:r>
      <w:r>
        <w:rPr>
          <w:rFonts w:hint="eastAsia" w:ascii="仿宋" w:hAnsi="仿宋" w:eastAsia="仿宋" w:cs="仿宋"/>
          <w:kern w:val="0"/>
          <w:sz w:val="24"/>
        </w:rPr>
        <w:t>设计服务项目</w:t>
      </w:r>
      <w:r>
        <w:rPr>
          <w:rFonts w:hint="eastAsia" w:ascii="仿宋" w:hAnsi="仿宋" w:eastAsia="仿宋" w:cs="仿宋"/>
          <w:sz w:val="24"/>
        </w:rPr>
        <w:t>初步设计方案》</w:t>
      </w:r>
      <w:r>
        <w:rPr>
          <w:rFonts w:hint="eastAsia" w:ascii="仿宋" w:hAnsi="仿宋" w:eastAsia="仿宋" w:cs="仿宋"/>
          <w:sz w:val="24"/>
          <w:lang w:val="en-US" w:eastAsia="zh-CN"/>
        </w:rPr>
        <w:t>和《密码应用方案》</w:t>
      </w:r>
      <w:r>
        <w:rPr>
          <w:rFonts w:hint="eastAsia" w:ascii="仿宋" w:hAnsi="仿宋" w:eastAsia="仿宋" w:cs="仿宋"/>
          <w:sz w:val="24"/>
        </w:rPr>
        <w:t xml:space="preserve">，并向采购人提出验收书面申请，采购人组织开展最终验收。 </w:t>
      </w:r>
    </w:p>
    <w:p w14:paraId="2B1D3487">
      <w:pPr>
        <w:spacing w:line="440" w:lineRule="exact"/>
        <w:ind w:firstLine="240" w:firstLineChars="100"/>
        <w:rPr>
          <w:rFonts w:hint="eastAsia" w:ascii="仿宋" w:hAnsi="仿宋" w:eastAsia="仿宋" w:cs="仿宋"/>
          <w:sz w:val="24"/>
        </w:rPr>
      </w:pPr>
      <w:r>
        <w:rPr>
          <w:rFonts w:hint="eastAsia" w:ascii="仿宋" w:hAnsi="仿宋" w:eastAsia="仿宋" w:cs="仿宋"/>
          <w:sz w:val="24"/>
        </w:rPr>
        <w:t>（5）在乙方提供服务完毕之日起30个工作日内，甲方应组织项目验收。服务质量验收合格的，甲方向乙方签发《验收报告》；服务质量验收不合格的，甲方及时向乙方提出异议和投诉。甲方无正当理由不验收，且不通知乙方进行延期验收或未经验收而交付使用的，应视为项目合格。</w:t>
      </w:r>
    </w:p>
    <w:p w14:paraId="20324274">
      <w:pPr>
        <w:pStyle w:val="3"/>
        <w:numPr>
          <w:ilvl w:val="0"/>
          <w:numId w:val="7"/>
        </w:numPr>
        <w:rPr>
          <w:rFonts w:hint="eastAsia" w:ascii="仿宋" w:hAnsi="仿宋" w:eastAsia="仿宋" w:cs="仿宋"/>
          <w:sz w:val="24"/>
          <w:szCs w:val="24"/>
        </w:rPr>
      </w:pPr>
      <w:r>
        <w:rPr>
          <w:rFonts w:hint="eastAsia" w:ascii="仿宋" w:hAnsi="仿宋" w:eastAsia="仿宋" w:cs="仿宋"/>
          <w:sz w:val="24"/>
          <w:szCs w:val="24"/>
        </w:rPr>
        <w:t>售后服务</w:t>
      </w:r>
    </w:p>
    <w:p w14:paraId="74E124E1">
      <w:pPr>
        <w:spacing w:line="360" w:lineRule="auto"/>
        <w:ind w:firstLine="504" w:firstLineChars="210"/>
        <w:rPr>
          <w:rFonts w:hint="eastAsia" w:ascii="仿宋" w:hAnsi="仿宋" w:eastAsia="仿宋" w:cs="仿宋"/>
          <w:sz w:val="24"/>
        </w:rPr>
      </w:pPr>
      <w:r>
        <w:rPr>
          <w:rFonts w:hint="eastAsia" w:ascii="仿宋" w:hAnsi="仿宋" w:eastAsia="仿宋" w:cs="仿宋"/>
          <w:sz w:val="24"/>
        </w:rPr>
        <w:t>设计服务项目验收完成后，设计跟踪及技术支持直至建设项目验收。咨询设计工作贯彻整个项目建设工期，预计</w:t>
      </w:r>
      <w:r>
        <w:rPr>
          <w:rFonts w:hint="eastAsia" w:ascii="仿宋" w:hAnsi="仿宋" w:eastAsia="仿宋" w:cs="仿宋"/>
          <w:sz w:val="24"/>
          <w:lang w:val="en-US" w:eastAsia="zh-CN"/>
        </w:rPr>
        <w:t>24</w:t>
      </w:r>
      <w:r>
        <w:rPr>
          <w:rFonts w:hint="eastAsia" w:ascii="仿宋" w:hAnsi="仿宋" w:eastAsia="仿宋" w:cs="仿宋"/>
          <w:sz w:val="24"/>
        </w:rPr>
        <w:t>个月</w:t>
      </w:r>
      <w:r>
        <w:rPr>
          <w:rFonts w:hint="eastAsia" w:ascii="仿宋" w:hAnsi="仿宋" w:eastAsia="仿宋" w:cs="仿宋"/>
          <w:sz w:val="24"/>
          <w:lang w:val="hr-HR"/>
        </w:rPr>
        <w:t>。</w:t>
      </w:r>
    </w:p>
    <w:p w14:paraId="333C11F4">
      <w:pPr>
        <w:pStyle w:val="3"/>
        <w:numPr>
          <w:ilvl w:val="0"/>
          <w:numId w:val="7"/>
        </w:numPr>
        <w:rPr>
          <w:rFonts w:hint="eastAsia" w:ascii="仿宋" w:hAnsi="仿宋" w:eastAsia="仿宋" w:cs="仿宋"/>
          <w:sz w:val="24"/>
          <w:szCs w:val="24"/>
        </w:rPr>
      </w:pPr>
      <w:r>
        <w:rPr>
          <w:rFonts w:hint="eastAsia" w:ascii="仿宋" w:hAnsi="仿宋" w:eastAsia="仿宋" w:cs="仿宋"/>
          <w:sz w:val="24"/>
          <w:szCs w:val="24"/>
        </w:rPr>
        <w:t>付款期限及方式</w:t>
      </w:r>
    </w:p>
    <w:p w14:paraId="1AE68849">
      <w:pPr>
        <w:spacing w:line="440" w:lineRule="exact"/>
        <w:ind w:firstLine="480" w:firstLineChars="200"/>
        <w:rPr>
          <w:rFonts w:hint="default" w:ascii="仿宋" w:hAnsi="仿宋" w:eastAsia="仿宋" w:cs="仿宋"/>
          <w:color w:val="FF0000"/>
          <w:sz w:val="24"/>
          <w:lang w:val="en-US" w:eastAsia="zh-CN"/>
        </w:rPr>
      </w:pPr>
      <w:r>
        <w:rPr>
          <w:rFonts w:hint="eastAsia" w:ascii="仿宋" w:hAnsi="仿宋" w:eastAsia="仿宋" w:cs="仿宋"/>
          <w:sz w:val="24"/>
          <w:lang w:val="en-US" w:eastAsia="zh-CN"/>
        </w:rPr>
        <w:t>后续根据采购方式确定。</w:t>
      </w:r>
    </w:p>
    <w:p w14:paraId="639CF900">
      <w:pPr>
        <w:pStyle w:val="3"/>
        <w:numPr>
          <w:ilvl w:val="0"/>
          <w:numId w:val="7"/>
        </w:numPr>
        <w:rPr>
          <w:rFonts w:hint="eastAsia" w:ascii="仿宋" w:hAnsi="仿宋" w:eastAsia="仿宋" w:cs="仿宋"/>
          <w:color w:val="auto"/>
          <w:sz w:val="24"/>
          <w:szCs w:val="24"/>
        </w:rPr>
      </w:pPr>
      <w:r>
        <w:rPr>
          <w:rFonts w:hint="eastAsia" w:ascii="仿宋" w:hAnsi="仿宋" w:eastAsia="仿宋" w:cs="仿宋"/>
          <w:color w:val="auto"/>
          <w:sz w:val="24"/>
          <w:szCs w:val="24"/>
        </w:rPr>
        <w:t>履约考评</w:t>
      </w:r>
    </w:p>
    <w:p w14:paraId="33A8AF5B">
      <w:pPr>
        <w:spacing w:line="360" w:lineRule="auto"/>
        <w:ind w:firstLine="480" w:firstLineChars="200"/>
        <w:jc w:val="left"/>
        <w:rPr>
          <w:rFonts w:hint="eastAsia" w:ascii="仿宋" w:hAnsi="仿宋" w:eastAsia="仿宋" w:cs="仿宋"/>
          <w:color w:val="auto"/>
          <w:sz w:val="24"/>
          <w:lang w:val="en-US"/>
        </w:rPr>
      </w:pPr>
      <w:r>
        <w:rPr>
          <w:rFonts w:hint="eastAsia" w:ascii="仿宋" w:hAnsi="仿宋" w:eastAsia="仿宋" w:cs="仿宋"/>
          <w:b w:val="0"/>
          <w:bCs w:val="0"/>
          <w:color w:val="auto"/>
          <w:kern w:val="2"/>
          <w:sz w:val="24"/>
          <w:szCs w:val="24"/>
          <w:highlight w:val="none"/>
          <w:lang w:val="en-US" w:eastAsia="zh-CN" w:bidi="ar-SA"/>
        </w:rPr>
        <w:t>根据合同履约要求，有对供应商（含采购代理机构）考核要求的，应对履约能力进行评价，加强供应商的履约管理，确保货物、服务及工程的质量，促进供应商依法、诚实和公平竞争。如同一供应商出现两次以上（含两次）不合格供应商，应将该供应商列入我院供应商黑名单，两年内不得参与我院所有的采购项目</w:t>
      </w:r>
      <w:r>
        <w:rPr>
          <w:rFonts w:hint="eastAsia" w:ascii="仿宋" w:hAnsi="仿宋" w:eastAsia="仿宋" w:cs="仿宋"/>
          <w:color w:val="auto"/>
          <w:sz w:val="24"/>
          <w:lang w:val="en-US"/>
        </w:rPr>
        <w:t>。</w:t>
      </w:r>
    </w:p>
    <w:p w14:paraId="0944CFBE">
      <w:pPr>
        <w:pStyle w:val="3"/>
        <w:numPr>
          <w:ilvl w:val="0"/>
          <w:numId w:val="7"/>
        </w:numPr>
        <w:rPr>
          <w:rFonts w:hint="eastAsia" w:ascii="仿宋" w:hAnsi="仿宋" w:eastAsia="仿宋" w:cs="仿宋"/>
          <w:sz w:val="24"/>
          <w:szCs w:val="24"/>
        </w:rPr>
      </w:pPr>
      <w:r>
        <w:rPr>
          <w:rFonts w:hint="eastAsia" w:ascii="仿宋" w:hAnsi="仿宋" w:eastAsia="仿宋" w:cs="仿宋"/>
          <w:sz w:val="24"/>
          <w:szCs w:val="24"/>
        </w:rPr>
        <w:t>违约责任</w:t>
      </w:r>
    </w:p>
    <w:p w14:paraId="3A4ACED2">
      <w:pPr>
        <w:spacing w:line="360" w:lineRule="auto"/>
        <w:ind w:firstLine="480" w:firstLineChars="200"/>
        <w:rPr>
          <w:rFonts w:hint="eastAsia" w:ascii="仿宋" w:hAnsi="仿宋" w:eastAsia="仿宋" w:cs="仿宋"/>
          <w:sz w:val="24"/>
        </w:rPr>
      </w:pPr>
      <w:r>
        <w:rPr>
          <w:rFonts w:hint="eastAsia" w:ascii="仿宋" w:hAnsi="仿宋" w:eastAsia="仿宋" w:cs="仿宋"/>
          <w:sz w:val="24"/>
        </w:rPr>
        <w:t>（1) 承建方提供的服务不符合采购文件、报价文件或本合同规定的，医院有权拒收，并且承建方方须向医院支付本合同总价20%的违约金。</w:t>
      </w:r>
    </w:p>
    <w:p w14:paraId="20E10EFA">
      <w:pPr>
        <w:spacing w:line="360" w:lineRule="auto"/>
        <w:ind w:firstLine="480" w:firstLineChars="200"/>
        <w:rPr>
          <w:rFonts w:hint="eastAsia" w:ascii="仿宋" w:hAnsi="仿宋" w:eastAsia="仿宋" w:cs="仿宋"/>
          <w:sz w:val="24"/>
        </w:rPr>
      </w:pPr>
      <w:r>
        <w:rPr>
          <w:rFonts w:hint="eastAsia" w:ascii="仿宋" w:hAnsi="仿宋" w:eastAsia="仿宋" w:cs="仿宋"/>
          <w:sz w:val="24"/>
        </w:rPr>
        <w:t>（2) 承建方未能按本合同规定的交货时间提供服务，从逾期之日起每日按本合同总价5‰的数额向医院支付违约金</w:t>
      </w:r>
      <w:r>
        <w:rPr>
          <w:rFonts w:hint="eastAsia" w:ascii="仿宋" w:hAnsi="仿宋" w:eastAsia="仿宋" w:cs="仿宋"/>
          <w:sz w:val="24"/>
          <w:lang w:eastAsia="zh-CN"/>
        </w:rPr>
        <w:t>，</w:t>
      </w:r>
      <w:r>
        <w:rPr>
          <w:rFonts w:hint="eastAsia" w:ascii="仿宋" w:hAnsi="仿宋" w:eastAsia="仿宋" w:cs="仿宋"/>
          <w:sz w:val="24"/>
        </w:rPr>
        <w:t>违约金</w:t>
      </w:r>
      <w:r>
        <w:rPr>
          <w:rFonts w:hint="eastAsia" w:ascii="仿宋" w:hAnsi="仿宋" w:eastAsia="仿宋" w:cs="仿宋"/>
          <w:sz w:val="24"/>
          <w:lang w:val="en-US" w:eastAsia="zh-CN"/>
        </w:rPr>
        <w:t>总额不超过合同金额的10%</w:t>
      </w:r>
      <w:r>
        <w:rPr>
          <w:rFonts w:hint="eastAsia" w:ascii="仿宋" w:hAnsi="仿宋" w:eastAsia="仿宋" w:cs="仿宋"/>
          <w:sz w:val="24"/>
        </w:rPr>
        <w:t>；逾期超过180天未能完成的，医院有权终止合同，由此造成的医院经济损失由承建方承担。</w:t>
      </w:r>
    </w:p>
    <w:p w14:paraId="5432289C">
      <w:pPr>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rPr>
        <w:t>（3）医院</w:t>
      </w:r>
      <w:r>
        <w:rPr>
          <w:rFonts w:hint="eastAsia" w:ascii="仿宋" w:hAnsi="仿宋" w:eastAsia="仿宋" w:cs="仿宋"/>
          <w:sz w:val="24"/>
          <w:lang w:val="zh-CN"/>
        </w:rPr>
        <w:t>逾期付款的，应当每天按未支付金额的千分之</w:t>
      </w:r>
      <w:r>
        <w:rPr>
          <w:rFonts w:hint="eastAsia" w:ascii="仿宋" w:hAnsi="仿宋" w:eastAsia="仿宋" w:cs="仿宋"/>
          <w:sz w:val="24"/>
          <w:lang w:val="en-US" w:eastAsia="zh-CN"/>
        </w:rPr>
        <w:t>一</w:t>
      </w:r>
      <w:r>
        <w:rPr>
          <w:rFonts w:hint="eastAsia" w:ascii="仿宋" w:hAnsi="仿宋" w:eastAsia="仿宋" w:cs="仿宋"/>
          <w:sz w:val="24"/>
          <w:lang w:val="zh-CN"/>
        </w:rPr>
        <w:t>支付违约金给</w:t>
      </w:r>
      <w:r>
        <w:rPr>
          <w:rFonts w:hint="eastAsia" w:ascii="仿宋" w:hAnsi="仿宋" w:eastAsia="仿宋" w:cs="仿宋"/>
          <w:sz w:val="24"/>
        </w:rPr>
        <w:t>承建方</w:t>
      </w:r>
      <w:r>
        <w:rPr>
          <w:rFonts w:hint="eastAsia" w:ascii="仿宋" w:hAnsi="仿宋" w:eastAsia="仿宋" w:cs="仿宋"/>
          <w:sz w:val="24"/>
          <w:lang w:eastAsia="zh-CN"/>
        </w:rPr>
        <w:t>，</w:t>
      </w:r>
      <w:r>
        <w:rPr>
          <w:rFonts w:hint="eastAsia" w:ascii="仿宋" w:hAnsi="仿宋" w:eastAsia="仿宋" w:cs="仿宋"/>
          <w:sz w:val="24"/>
        </w:rPr>
        <w:t>违约金</w:t>
      </w:r>
      <w:r>
        <w:rPr>
          <w:rFonts w:hint="eastAsia" w:ascii="仿宋" w:hAnsi="仿宋" w:eastAsia="仿宋" w:cs="仿宋"/>
          <w:sz w:val="24"/>
          <w:lang w:val="en-US" w:eastAsia="zh-CN"/>
        </w:rPr>
        <w:t>总额不超过合同金额的5%</w:t>
      </w:r>
      <w:r>
        <w:rPr>
          <w:rFonts w:hint="eastAsia" w:ascii="仿宋" w:hAnsi="仿宋" w:eastAsia="仿宋" w:cs="仿宋"/>
          <w:sz w:val="24"/>
          <w:lang w:val="zh-CN"/>
        </w:rPr>
        <w:t>。</w:t>
      </w:r>
    </w:p>
    <w:p w14:paraId="6BD2AA50">
      <w:pPr>
        <w:spacing w:line="360" w:lineRule="auto"/>
        <w:ind w:firstLine="480" w:firstLineChars="200"/>
        <w:rPr>
          <w:rFonts w:hint="eastAsia" w:ascii="仿宋" w:hAnsi="仿宋" w:eastAsia="仿宋" w:cs="仿宋"/>
          <w:sz w:val="24"/>
        </w:rPr>
      </w:pPr>
      <w:r>
        <w:rPr>
          <w:rFonts w:hint="eastAsia" w:ascii="仿宋" w:hAnsi="仿宋" w:eastAsia="仿宋" w:cs="仿宋"/>
          <w:sz w:val="24"/>
        </w:rPr>
        <w:t>（4）对于承建方出现违约行为或服务行为不符合质量要求，医院将要求承建方按规定进行整改，在两次整改均无效或仍不能符合质量要求的，报经医院</w:t>
      </w:r>
      <w:r>
        <w:rPr>
          <w:rFonts w:hint="eastAsia" w:ascii="仿宋" w:hAnsi="仿宋" w:eastAsia="仿宋" w:cs="仿宋"/>
          <w:sz w:val="24"/>
          <w:lang w:val="en-US" w:eastAsia="zh-CN"/>
        </w:rPr>
        <w:t>党委会</w:t>
      </w:r>
      <w:r>
        <w:rPr>
          <w:rFonts w:hint="eastAsia" w:ascii="仿宋" w:hAnsi="仿宋" w:eastAsia="仿宋" w:cs="仿宋"/>
          <w:sz w:val="24"/>
        </w:rPr>
        <w:t>审议同意后终止合同，将承建方列入黑名单管理。同时，承建方须承担所有违约责任。</w:t>
      </w:r>
    </w:p>
    <w:p w14:paraId="2CB2D7D2">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（5）其它违约责任按《中华人民共和国民法典》处理。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013F1">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A58EC">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9A58EC">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47101"/>
    <w:multiLevelType w:val="singleLevel"/>
    <w:tmpl w:val="86147101"/>
    <w:lvl w:ilvl="0" w:tentative="0">
      <w:start w:val="1"/>
      <w:numFmt w:val="chineseCounting"/>
      <w:suff w:val="nothing"/>
      <w:lvlText w:val="（%1）"/>
      <w:lvlJc w:val="left"/>
      <w:pPr>
        <w:ind w:left="0" w:firstLine="420"/>
      </w:pPr>
      <w:rPr>
        <w:rFonts w:hint="eastAsia"/>
      </w:rPr>
    </w:lvl>
  </w:abstractNum>
  <w:abstractNum w:abstractNumId="1">
    <w:nsid w:val="D1B4EBB1"/>
    <w:multiLevelType w:val="singleLevel"/>
    <w:tmpl w:val="D1B4EBB1"/>
    <w:lvl w:ilvl="0" w:tentative="0">
      <w:start w:val="1"/>
      <w:numFmt w:val="chineseCounting"/>
      <w:suff w:val="nothing"/>
      <w:lvlText w:val="（%1）"/>
      <w:lvlJc w:val="left"/>
      <w:pPr>
        <w:ind w:left="0" w:firstLine="420"/>
      </w:pPr>
      <w:rPr>
        <w:rFonts w:hint="eastAsia"/>
      </w:rPr>
    </w:lvl>
  </w:abstractNum>
  <w:abstractNum w:abstractNumId="2">
    <w:nsid w:val="D39C27EA"/>
    <w:multiLevelType w:val="singleLevel"/>
    <w:tmpl w:val="D39C27EA"/>
    <w:lvl w:ilvl="0" w:tentative="0">
      <w:start w:val="1"/>
      <w:numFmt w:val="decimal"/>
      <w:suff w:val="nothing"/>
      <w:lvlText w:val="%1．"/>
      <w:lvlJc w:val="left"/>
      <w:pPr>
        <w:ind w:left="0" w:firstLine="400"/>
      </w:pPr>
      <w:rPr>
        <w:rFonts w:hint="default"/>
      </w:rPr>
    </w:lvl>
  </w:abstractNum>
  <w:abstractNum w:abstractNumId="3">
    <w:nsid w:val="E9CDAF02"/>
    <w:multiLevelType w:val="singleLevel"/>
    <w:tmpl w:val="E9CDAF02"/>
    <w:lvl w:ilvl="0" w:tentative="0">
      <w:start w:val="1"/>
      <w:numFmt w:val="chineseCounting"/>
      <w:suff w:val="nothing"/>
      <w:lvlText w:val="%1、"/>
      <w:lvlJc w:val="left"/>
      <w:pPr>
        <w:ind w:left="0" w:firstLine="420"/>
      </w:pPr>
      <w:rPr>
        <w:rFonts w:hint="eastAsia"/>
      </w:rPr>
    </w:lvl>
  </w:abstractNum>
  <w:abstractNum w:abstractNumId="4">
    <w:nsid w:val="01586E32"/>
    <w:multiLevelType w:val="singleLevel"/>
    <w:tmpl w:val="01586E32"/>
    <w:lvl w:ilvl="0" w:tentative="0">
      <w:start w:val="1"/>
      <w:numFmt w:val="chineseCounting"/>
      <w:suff w:val="nothing"/>
      <w:lvlText w:val="（%1）"/>
      <w:lvlJc w:val="left"/>
      <w:pPr>
        <w:ind w:left="0" w:firstLine="420"/>
      </w:pPr>
      <w:rPr>
        <w:rFonts w:hint="eastAsia"/>
      </w:rPr>
    </w:lvl>
  </w:abstractNum>
  <w:abstractNum w:abstractNumId="5">
    <w:nsid w:val="14C45015"/>
    <w:multiLevelType w:val="multilevel"/>
    <w:tmpl w:val="14C45015"/>
    <w:lvl w:ilvl="0" w:tentative="0">
      <w:start w:val="1"/>
      <w:numFmt w:val="chineseCountingThousand"/>
      <w:lvlText w:val="%1、"/>
      <w:lvlJc w:val="left"/>
      <w:pPr>
        <w:ind w:left="425" w:hanging="425"/>
      </w:pPr>
      <w:rPr>
        <w:rFonts w:hint="eastAsia"/>
      </w:rPr>
    </w:lvl>
    <w:lvl w:ilvl="1" w:tentative="0">
      <w:start w:val="1"/>
      <w:numFmt w:val="chineseCountingThousand"/>
      <w:lvlText w:val="（%2）"/>
      <w:lvlJc w:val="left"/>
      <w:pPr>
        <w:ind w:left="425" w:hanging="425"/>
      </w:pPr>
      <w:rPr>
        <w:rFonts w:hint="eastAsia"/>
      </w:rPr>
    </w:lvl>
    <w:lvl w:ilvl="2" w:tentative="0">
      <w:start w:val="1"/>
      <w:numFmt w:val="decimal"/>
      <w:lvlText w:val="%3. "/>
      <w:lvlJc w:val="left"/>
      <w:pPr>
        <w:ind w:left="425" w:hanging="425"/>
      </w:pPr>
      <w:rPr>
        <w:rFonts w:hint="eastAsia"/>
      </w:rPr>
    </w:lvl>
    <w:lvl w:ilvl="3" w:tentative="0">
      <w:start w:val="1"/>
      <w:numFmt w:val="decimal"/>
      <w:lvlText w:val="%3.%4. "/>
      <w:lvlJc w:val="left"/>
      <w:pPr>
        <w:ind w:left="425" w:hanging="425"/>
      </w:pPr>
      <w:rPr>
        <w:rFonts w:hint="eastAsia"/>
      </w:rPr>
    </w:lvl>
    <w:lvl w:ilvl="4" w:tentative="0">
      <w:start w:val="1"/>
      <w:numFmt w:val="decimal"/>
      <w:pStyle w:val="5"/>
      <w:lvlText w:val="%3.%4.%5 ."/>
      <w:lvlJc w:val="left"/>
      <w:pPr>
        <w:ind w:left="425" w:hanging="425"/>
      </w:pPr>
      <w:rPr>
        <w:rFonts w:hint="eastAsia"/>
      </w:rPr>
    </w:lvl>
    <w:lvl w:ilvl="5" w:tentative="0">
      <w:start w:val="1"/>
      <w:numFmt w:val="decimal"/>
      <w:pStyle w:val="6"/>
      <w:lvlText w:val="%3.%4.%5.%6 ."/>
      <w:lvlJc w:val="left"/>
      <w:pPr>
        <w:ind w:left="425" w:hanging="425"/>
      </w:pPr>
      <w:rPr>
        <w:rFonts w:hint="eastAsia"/>
      </w:rPr>
    </w:lvl>
    <w:lvl w:ilvl="6" w:tentative="0">
      <w:start w:val="1"/>
      <w:numFmt w:val="decimal"/>
      <w:lvlText w:val="%3.%4.%5.%6.%7 ."/>
      <w:lvlJc w:val="left"/>
      <w:pPr>
        <w:ind w:left="425" w:hanging="425"/>
      </w:pPr>
      <w:rPr>
        <w:rFonts w:hint="eastAsia"/>
      </w:rPr>
    </w:lvl>
    <w:lvl w:ilvl="7" w:tentative="0">
      <w:start w:val="1"/>
      <w:numFmt w:val="decimal"/>
      <w:lvlText w:val="%3.%4.%5.%6.%7.%8 ."/>
      <w:lvlJc w:val="left"/>
      <w:pPr>
        <w:ind w:left="425" w:hanging="425"/>
      </w:pPr>
      <w:rPr>
        <w:rFonts w:hint="eastAsia"/>
      </w:rPr>
    </w:lvl>
    <w:lvl w:ilvl="8" w:tentative="0">
      <w:start w:val="1"/>
      <w:numFmt w:val="decimal"/>
      <w:lvlText w:val="%3.%4.%5.%6.%7.%8.%9 ."/>
      <w:lvlJc w:val="left"/>
      <w:pPr>
        <w:ind w:left="425" w:hanging="425"/>
      </w:pPr>
      <w:rPr>
        <w:rFonts w:hint="eastAsia"/>
      </w:rPr>
    </w:lvl>
  </w:abstractNum>
  <w:abstractNum w:abstractNumId="6">
    <w:nsid w:val="67353757"/>
    <w:multiLevelType w:val="multilevel"/>
    <w:tmpl w:val="67353757"/>
    <w:lvl w:ilvl="0" w:tentative="0">
      <w:start w:val="1"/>
      <w:numFmt w:val="chineseCountingThousand"/>
      <w:suff w:val="space"/>
      <w:lvlText w:val="第%1章"/>
      <w:lvlJc w:val="left"/>
      <w:pPr>
        <w:ind w:left="432" w:hanging="432"/>
      </w:pPr>
      <w:rPr>
        <w:rFonts w:hint="eastAsia"/>
      </w:rPr>
    </w:lvl>
    <w:lvl w:ilvl="1" w:tentative="0">
      <w:start w:val="1"/>
      <w:numFmt w:val="decimal"/>
      <w:pStyle w:val="3"/>
      <w:isLgl/>
      <w:suff w:val="space"/>
      <w:lvlText w:val="%1.%2"/>
      <w:lvlJc w:val="left"/>
      <w:pPr>
        <w:ind w:left="576" w:hanging="576"/>
      </w:pPr>
      <w:rPr>
        <w:rFonts w:hint="eastAsia"/>
      </w:rPr>
    </w:lvl>
    <w:lvl w:ilvl="2" w:tentative="0">
      <w:start w:val="1"/>
      <w:numFmt w:val="decimal"/>
      <w:pStyle w:val="4"/>
      <w:isLgl/>
      <w:suff w:val="space"/>
      <w:lvlText w:val="%1.%2.%3"/>
      <w:lvlJc w:val="left"/>
      <w:pPr>
        <w:ind w:left="737" w:hanging="737"/>
      </w:pPr>
      <w:rPr>
        <w:rFonts w:hint="default" w:ascii="Arial" w:hAnsi="Arial" w:eastAsia="黑体"/>
        <w:b/>
        <w:i w:val="0"/>
        <w:lang w:val="en-US"/>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default" w:ascii="Arial" w:hAnsi="Arial" w:cs="Times New Roman"/>
        <w:b/>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rPr>
    </w:lvl>
    <w:lvl w:ilvl="8" w:tentative="0">
      <w:start w:val="1"/>
      <w:numFmt w:val="decimal"/>
      <w:isLgl/>
      <w:suff w:val="space"/>
      <w:lvlText w:val="%1.%2.%3.%4.%5.%6.%7.%8.%9"/>
      <w:lvlJc w:val="left"/>
      <w:pPr>
        <w:ind w:left="1584" w:hanging="1584"/>
      </w:pPr>
      <w:rPr>
        <w:rFonts w:hint="eastAsia"/>
      </w:rPr>
    </w:lvl>
  </w:abstractNum>
  <w:num w:numId="1">
    <w:abstractNumId w:val="6"/>
  </w:num>
  <w:num w:numId="2">
    <w:abstractNumId w:val="5"/>
  </w:num>
  <w:num w:numId="3">
    <w:abstractNumId w:val="3"/>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NjFkMWE5ZTZjZDE2NjU3MDVmN2JmNmRjZTQ1OTkifQ=="/>
  </w:docVars>
  <w:rsids>
    <w:rsidRoot w:val="00000000"/>
    <w:rsid w:val="01D2157F"/>
    <w:rsid w:val="02356322"/>
    <w:rsid w:val="0555000E"/>
    <w:rsid w:val="09D26160"/>
    <w:rsid w:val="0A9D0778"/>
    <w:rsid w:val="0CB158C2"/>
    <w:rsid w:val="12183D88"/>
    <w:rsid w:val="12374DE3"/>
    <w:rsid w:val="169F3877"/>
    <w:rsid w:val="1F1E3599"/>
    <w:rsid w:val="21E409B2"/>
    <w:rsid w:val="22C232BD"/>
    <w:rsid w:val="24323724"/>
    <w:rsid w:val="25367674"/>
    <w:rsid w:val="27537FCC"/>
    <w:rsid w:val="2B0D4C4E"/>
    <w:rsid w:val="2CC11DA4"/>
    <w:rsid w:val="2DE51D0F"/>
    <w:rsid w:val="30731D1D"/>
    <w:rsid w:val="308C0810"/>
    <w:rsid w:val="30ED10C3"/>
    <w:rsid w:val="3783756B"/>
    <w:rsid w:val="386155FD"/>
    <w:rsid w:val="393C45EF"/>
    <w:rsid w:val="3E257F97"/>
    <w:rsid w:val="41D41ACB"/>
    <w:rsid w:val="448F1095"/>
    <w:rsid w:val="44C52FB0"/>
    <w:rsid w:val="4FCD085E"/>
    <w:rsid w:val="50EE01D4"/>
    <w:rsid w:val="50EE5080"/>
    <w:rsid w:val="5974171F"/>
    <w:rsid w:val="604B7855"/>
    <w:rsid w:val="611E04B8"/>
    <w:rsid w:val="67DA04B7"/>
    <w:rsid w:val="69E22CD2"/>
    <w:rsid w:val="6B577925"/>
    <w:rsid w:val="71480647"/>
    <w:rsid w:val="7185070D"/>
    <w:rsid w:val="71882317"/>
    <w:rsid w:val="74D802C1"/>
    <w:rsid w:val="7593247D"/>
    <w:rsid w:val="76567EB3"/>
    <w:rsid w:val="76C36E2C"/>
    <w:rsid w:val="7C8B4D85"/>
    <w:rsid w:val="7D890C83"/>
    <w:rsid w:val="7EA62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widowControl/>
      <w:numPr>
        <w:ilvl w:val="1"/>
        <w:numId w:val="1"/>
      </w:numPr>
      <w:spacing w:before="480" w:after="120" w:line="360" w:lineRule="auto"/>
      <w:jc w:val="left"/>
      <w:outlineLvl w:val="1"/>
    </w:pPr>
    <w:rPr>
      <w:rFonts w:ascii="Arial" w:hAnsi="Arial" w:eastAsia="黑体"/>
      <w:b/>
      <w:bCs/>
      <w:kern w:val="0"/>
      <w:sz w:val="28"/>
      <w:szCs w:val="32"/>
      <w:lang w:val="zh-CN"/>
    </w:rPr>
  </w:style>
  <w:style w:type="paragraph" w:styleId="4">
    <w:name w:val="heading 3"/>
    <w:basedOn w:val="1"/>
    <w:next w:val="1"/>
    <w:qFormat/>
    <w:uiPriority w:val="0"/>
    <w:pPr>
      <w:keepNext/>
      <w:keepLines/>
      <w:widowControl/>
      <w:numPr>
        <w:ilvl w:val="2"/>
        <w:numId w:val="1"/>
      </w:numPr>
      <w:tabs>
        <w:tab w:val="left" w:pos="709"/>
      </w:tabs>
      <w:spacing w:before="240" w:after="120" w:line="360" w:lineRule="auto"/>
      <w:jc w:val="left"/>
      <w:outlineLvl w:val="2"/>
    </w:pPr>
    <w:rPr>
      <w:rFonts w:ascii="Arial" w:hAnsi="Arial" w:eastAsia="黑体"/>
      <w:b/>
      <w:bCs/>
      <w:sz w:val="26"/>
      <w:szCs w:val="32"/>
      <w:lang w:val="zh-CN"/>
    </w:rPr>
  </w:style>
  <w:style w:type="paragraph" w:styleId="5">
    <w:name w:val="heading 5"/>
    <w:basedOn w:val="1"/>
    <w:next w:val="1"/>
    <w:unhideWhenUsed/>
    <w:qFormat/>
    <w:uiPriority w:val="9"/>
    <w:pPr>
      <w:keepNext/>
      <w:keepLines/>
      <w:numPr>
        <w:ilvl w:val="4"/>
        <w:numId w:val="2"/>
      </w:numPr>
      <w:spacing w:before="280" w:after="290" w:line="376" w:lineRule="auto"/>
      <w:ind w:firstLine="0" w:firstLineChars="0"/>
      <w:outlineLvl w:val="4"/>
    </w:pPr>
    <w:rPr>
      <w:b/>
      <w:bCs/>
      <w:szCs w:val="28"/>
    </w:rPr>
  </w:style>
  <w:style w:type="paragraph" w:styleId="6">
    <w:name w:val="heading 6"/>
    <w:basedOn w:val="1"/>
    <w:next w:val="1"/>
    <w:unhideWhenUsed/>
    <w:qFormat/>
    <w:uiPriority w:val="9"/>
    <w:pPr>
      <w:keepNext/>
      <w:keepLines/>
      <w:numPr>
        <w:ilvl w:val="5"/>
        <w:numId w:val="2"/>
      </w:numPr>
      <w:spacing w:before="240" w:after="64" w:line="320" w:lineRule="auto"/>
      <w:ind w:firstLine="0" w:firstLineChars="0"/>
      <w:outlineLvl w:val="5"/>
    </w:pPr>
    <w:rPr>
      <w:rFonts w:asciiTheme="majorHAnsi" w:hAnsiTheme="majorHAnsi" w:eastAsiaTheme="majorEastAsia" w:cstheme="majorBidi"/>
      <w:b/>
      <w:bCs/>
      <w:sz w:val="24"/>
      <w:szCs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next w:val="1"/>
    <w:qFormat/>
    <w:uiPriority w:val="0"/>
    <w:pPr>
      <w:spacing w:after="120"/>
    </w:pPr>
  </w:style>
  <w:style w:type="paragraph" w:styleId="9">
    <w:name w:val="Body Text Indent"/>
    <w:basedOn w:val="1"/>
    <w:qFormat/>
    <w:uiPriority w:val="0"/>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2"/>
    <w:basedOn w:val="9"/>
    <w:unhideWhenUsed/>
    <w:qFormat/>
    <w:uiPriority w:val="99"/>
    <w:pPr>
      <w:spacing w:after="0"/>
      <w:ind w:left="0" w:leftChars="0" w:firstLine="420" w:firstLineChars="200"/>
      <w:jc w:val="left"/>
    </w:pPr>
    <w:rPr>
      <w:sz w:val="28"/>
    </w:rPr>
  </w:style>
  <w:style w:type="table" w:styleId="14">
    <w:name w:val="Table Grid"/>
    <w:basedOn w:val="13"/>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样式 样式 左侧:  2 字符 + 左侧:  0.85 厘米 首行缩进:  2 字符1"/>
    <w:basedOn w:val="1"/>
    <w:qFormat/>
    <w:uiPriority w:val="0"/>
    <w:pPr>
      <w:ind w:left="482" w:firstLine="200" w:firstLineChars="200"/>
    </w:pPr>
    <w:rPr>
      <w:rFonts w:cs="宋体"/>
    </w:rPr>
  </w:style>
  <w:style w:type="paragraph" w:customStyle="1" w:styleId="17">
    <w:name w:val="正文内容"/>
    <w:basedOn w:val="1"/>
    <w:qFormat/>
    <w:uiPriority w:val="0"/>
    <w:pPr>
      <w:spacing w:line="360" w:lineRule="auto"/>
      <w:ind w:firstLine="200" w:firstLineChars="200"/>
    </w:pPr>
    <w:rPr>
      <w:sz w:val="24"/>
      <w:szCs w:val="21"/>
      <w:lang w:val="zh-CN"/>
    </w:rPr>
  </w:style>
  <w:style w:type="paragraph" w:customStyle="1" w:styleId="18">
    <w:name w:val="列出段落1"/>
    <w:basedOn w:val="1"/>
    <w:unhideWhenUsed/>
    <w:qFormat/>
    <w:uiPriority w:val="99"/>
    <w:pPr>
      <w:ind w:firstLine="420" w:firstLineChars="200"/>
    </w:pPr>
  </w:style>
  <w:style w:type="paragraph" w:customStyle="1" w:styleId="19">
    <w:name w:val="Table Paragraph"/>
    <w:basedOn w:val="1"/>
    <w:qFormat/>
    <w:uiPriority w:val="1"/>
    <w:rPr>
      <w:rFonts w:ascii="宋体" w:hAnsi="宋体" w:cs="宋体"/>
      <w:lang w:val="zh-CN" w:bidi="zh-CN"/>
    </w:rPr>
  </w:style>
  <w:style w:type="paragraph" w:customStyle="1" w:styleId="20">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21">
    <w:name w:val="0段落文字"/>
    <w:basedOn w:val="1"/>
    <w:qFormat/>
    <w:uiPriority w:val="0"/>
    <w:pPr>
      <w:spacing w:line="360" w:lineRule="auto"/>
      <w:ind w:firstLine="200" w:firstLineChars="200"/>
    </w:pPr>
    <w:rPr>
      <w:sz w:val="24"/>
      <w:szCs w:val="21"/>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Times New Roman" w:hAnsi="Times New Roman" w:eastAsia="Times New Roman" w:cs="Times New Roman"/>
      <w:sz w:val="31"/>
      <w:szCs w:val="31"/>
      <w:lang w:val="en-US" w:eastAsia="en-US" w:bidi="ar-SA"/>
    </w:rPr>
  </w:style>
  <w:style w:type="paragraph" w:customStyle="1" w:styleId="24">
    <w:name w:val="正文·"/>
    <w:basedOn w:val="1"/>
    <w:qFormat/>
    <w:uiPriority w:val="0"/>
    <w:pPr>
      <w:ind w:firstLine="560"/>
      <w:jc w:val="left"/>
    </w:pPr>
    <w:rPr>
      <w:rFonts w:ascii="仿宋" w:hAnsi="仿宋"/>
      <w:szCs w:val="28"/>
    </w:rPr>
  </w:style>
  <w:style w:type="paragraph" w:customStyle="1" w:styleId="25">
    <w:name w:val="标题 21"/>
    <w:basedOn w:val="1"/>
    <w:qFormat/>
    <w:uiPriority w:val="0"/>
    <w:pPr>
      <w:keepNext/>
      <w:keepLines/>
      <w:spacing w:before="260" w:after="260" w:line="416" w:lineRule="auto"/>
      <w:outlineLvl w:val="1"/>
    </w:pPr>
    <w:rPr>
      <w:rFonts w:ascii="等线 Light" w:hAnsi="等线 Light" w:eastAsia="等线 Light"/>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13793</Words>
  <Characters>14015</Characters>
  <Lines>0</Lines>
  <Paragraphs>0</Paragraphs>
  <TotalTime>26</TotalTime>
  <ScaleCrop>false</ScaleCrop>
  <LinksUpToDate>false</LinksUpToDate>
  <CharactersWithSpaces>14041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2024-09-03T02:35:00Z</dcterms:created>
  <dc:creator>hzzx.DESKTOP-ASK98HG</dc:creator>
  <cp:lastModifiedBy>超</cp:lastModifiedBy>
  <dcterms:modified xsi:type="dcterms:W3CDTF">2026-04-16T02:50:03Z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49834ABF52CB41FCB4A2F361B1F5AD2A_13</vt:lpwstr>
  </property>
  <property fmtid="{D5CDD505-2E9C-101B-9397-08002B2CF9AE}" pid="4" name="KSOTemplateDocerSaveRecord">
    <vt:lpwstr>eyJoZGlkIjoiMGI0ODg4NmE1MWI0Y2E0YWRjNzA3YjM0NTFkOWY4MWIiLCJ1c2VySWQiOiIxMjEwOTA1NTM1In0=</vt:lpwstr>
  </property>
</Properties>
</file>